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widowControl/>
        <w:spacing w:before="960" w:after="400"/>
        <w:jc w:val="center"/>
      </w:pPr>
      <w:r>
        <w:drawing>
          <wp:inline>
            <wp:extent cx="1440000" cy="1361658"/>
            <wp:docPr id="1" name="Picture 1" descr="Qanovra logo" title="Qanovra logo"/>
            <wp:cNvGraphicFramePr>
              <a:graphicFrameLocks noChangeAspect="1"/>
            </wp:cNvGraphicFramePr>
            <a:graphic>
              <a:graphicData uri="http://schemas.openxmlformats.org/drawingml/2006/picture">
                <pic:pic>
                  <pic:nvPicPr>
                    <pic:cNvPr id="0" name="mark.png"/>
                    <pic:cNvPicPr/>
                  </pic:nvPicPr>
                  <pic:blipFill>
                    <a:blip r:embed="rId9"/>
                    <a:stretch>
                      <a:fillRect/>
                    </a:stretch>
                  </pic:blipFill>
                  <pic:spPr>
                    <a:xfrm>
                      <a:off x="0" y="0"/>
                      <a:ext cx="1440000" cy="1361658"/>
                    </a:xfrm>
                    <a:prstGeom prst="rect"/>
                  </pic:spPr>
                </pic:pic>
              </a:graphicData>
            </a:graphic>
          </wp:inline>
        </w:drawing>
      </w:r>
    </w:p>
    <w:p>
      <w:pPr>
        <w:pStyle w:val="FirstParagraph"/>
        <w:widowControl/>
        <w:spacing w:before="0" w:after="40"/>
        <w:jc w:val="center"/>
      </w:pPr>
      <w:r>
        <w:rPr>
          <w:rFonts w:ascii="Arial" w:hAnsi="Arial"/>
          <w:b/>
          <w:bCs/>
          <w:i w:val="0"/>
          <w:color w:val="0E2036"/>
          <w:spacing w:val="100"/>
          <w:sz w:val="60"/>
        </w:rPr>
        <w:t xml:space="preserve">QANOVRA</w:t>
      </w:r>
    </w:p>
    <w:p>
      <w:pPr>
        <w:pStyle w:val="BodyText"/>
        <w:widowControl/>
        <w:spacing w:before="0" w:after="80"/>
        <w:jc w:val="center"/>
      </w:pPr>
      <w:r>
        <w:t>YELLOW PAPER v2.4.2</w:t>
      </w:r>
    </w:p>
    <w:p>
      <w:pPr>
        <w:pStyle w:val="BodyText"/>
        <w:widowControl/>
        <w:spacing w:before="0" w:after="400"/>
        <w:jc w:val="center"/>
      </w:pPr>
      <w:r>
        <w:rPr>
          <w:rFonts w:ascii="Arial" w:hAnsi="Arial"/>
          <w:b w:val="0"/>
          <w:i/>
          <w:iCs/>
          <w:color w:val="66707C"/>
          <w:sz w:val="24"/>
        </w:rPr>
        <w:t xml:space="preserve">Technical Specification of the Qanovra Layer-1 Protocol</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Document control</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Canonical 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Status</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Technical Specification / Publication Layout Final Candidate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Baseline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L1 v3.7.5 - Frozen L1</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Date</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23 August 2026</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Native asset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qnv-atom</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Precision</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 decimals; 1 QNV = 100,000 qnv-atom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Maximum supply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10,000,000,000 QNV = 10^15 qnv-atom</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 hash</w:t>
            </w:r>
          </w:p>
        </w:tc>
        <w:tc>
          <w:tcPr>
            <w:shd w:val="clear" w:fill="F3F6FB"/>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Candidate SHA-256</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Generated after final document freeze; see audit handoff manifest</w:t>
            </w:r>
          </w:p>
        </w:tc>
      </w:tr>
    </w:tbl>
    <w:p>
      <w:pPr>
        <w:pStyle w:val="BodyText"/>
        <w:widowControl/>
        <w:spacing w:before="200"/>
        <w:jc w:val="center"/>
      </w:pPr>
      <w:r>
        <w:t>This paper specifies Qanovra L1 v3.7.5 as the frozen technical baseline and separately records v2.4 publication-policy decisions where the protocol documentation closes economic, governance or disclosure gaps without claiming unproven runtime enforcement.</w:t>
      </w:r>
    </w:p>
    <w:bookmarkStart w:id="20" w:name="abstract"/>
    <w:p>
      <w:pPr>
        <w:pStyle w:val="Heading1"/>
        <w:keepNext/>
        <w:keepLines/>
        <w:pageBreakBefore/>
        <w:widowControl/>
        <w:pBdr>
          <w:bottom w:val="single" w:sz="14" w:space="4" w:color="2E6FD8"/>
        </w:pBdr>
      </w:pPr>
      <w:r>
        <w:t xml:space="preserve">Abstract</w:t>
      </w:r>
    </w:p>
    <w:p>
      <w:pPr>
        <w:pStyle w:val="FirstParagraph"/>
        <w:keepLines/>
        <w:widowControl/>
        <w:spacing w:after="100" w:before="0" w:line="264" w:lineRule="auto"/>
      </w:pPr>
      <w:r>
        <w:t xml:space="preserve">Qanovra is a deterministic Layer-1 ledger whose frozen v3.7.5 baseline</w:t>
      </w:r>
      <w:r>
        <w:t xml:space="preserve"> </w:t>
      </w:r>
      <w:r>
        <w:t xml:space="preserve">binds network identity to genesis, uses a single authoritative</w:t>
      </w:r>
      <w:r>
        <w:t xml:space="preserve"> </w:t>
      </w:r>
      <w:r>
        <w:t xml:space="preserve">account-state ledger, constrains monetary amounts to a cross-client-safe</w:t>
      </w:r>
      <w:r>
        <w:t xml:space="preserve"> </w:t>
      </w:r>
      <w:r>
        <w:t xml:space="preserve">integer domain, separates user accounts from protocol-controlled system</w:t>
      </w:r>
      <w:r>
        <w:t xml:space="preserve"> </w:t>
      </w:r>
      <w:r>
        <w:t xml:space="preserve">accounts, and applies explicit authorization to privileged state</w:t>
      </w:r>
      <w:r>
        <w:t xml:space="preserve"> </w:t>
      </w:r>
      <w:r>
        <w:t xml:space="preserve">transitions. This Yellow Paper describes the protocol as a</w:t>
      </w:r>
      <w:r>
        <w:t xml:space="preserve"> </w:t>
      </w:r>
      <w:r>
        <w:t xml:space="preserve">state-transition system and records the invariants that implementations</w:t>
      </w:r>
      <w:r>
        <w:t xml:space="preserve"> </w:t>
      </w:r>
      <w:r>
        <w:t xml:space="preserve">must preserve.</w:t>
      </w:r>
    </w:p>
    <w:p>
      <w:pPr>
        <w:pStyle w:val="BodyText"/>
        <w:keepLines/>
        <w:widowControl/>
        <w:spacing w:after="100" w:before="0" w:line="264" w:lineRule="auto"/>
      </w:pPr>
      <w:r>
        <w:t xml:space="preserve">The document is intentionally narrower than the Qanovra Whitepaper. It</w:t>
      </w:r>
      <w:r>
        <w:t xml:space="preserve"> </w:t>
      </w:r>
      <w:r>
        <w:t xml:space="preserve">does not describe market positioning. It defines identities, encodings,</w:t>
      </w:r>
      <w:r>
        <w:t xml:space="preserve"> </w:t>
      </w:r>
      <w:r>
        <w:t xml:space="preserve">state, transactions, blocks, finalization, validator-set rules, economic</w:t>
      </w:r>
      <w:r>
        <w:t xml:space="preserve"> </w:t>
      </w:r>
      <w:r>
        <w:t xml:space="preserve">accounting, system vaults, staking/slashing policy interfaces,</w:t>
      </w:r>
      <w:r>
        <w:t xml:space="preserve"> </w:t>
      </w:r>
      <w:r>
        <w:t xml:space="preserve">governance controls, replay resistance and release invariants.</w:t>
      </w:r>
    </w:p>
    <w:bookmarkEnd w:id="20"/>
    <w:bookmarkStart w:id="21" w:name="normative-language-and-scope"/>
    <w:p>
      <w:pPr>
        <w:pStyle w:val="Heading1"/>
        <w:keepNext/>
        <w:keepLines/>
        <w:widowControl/>
        <w:pBdr>
          <w:bottom w:val="single" w:sz="14" w:space="4" w:color="2E6FD8"/>
        </w:pBdr>
      </w:pPr>
      <w:r>
        <w:t xml:space="preserve">1. Normative Language and Scope</w:t>
      </w:r>
    </w:p>
    <w:p>
      <w:pPr>
        <w:pStyle w:val="FirstParagraph"/>
        <w:keepLines/>
        <w:widowControl/>
        <w:spacing w:after="100" w:before="0" w:line="264" w:lineRule="auto"/>
      </w:pPr>
      <w:r>
        <w:t xml:space="preserve">The terms MUST, MUST NOT, SHOULD and MAY are normative within this</w:t>
      </w:r>
      <w:r>
        <w:t xml:space="preserve"> </w:t>
      </w:r>
      <w:r>
        <w:t xml:space="preserve">document. The frozen implementation and genesis configuration remain</w:t>
      </w:r>
      <w:r>
        <w:t xml:space="preserve"> </w:t>
      </w:r>
      <w:r>
        <w:t xml:space="preserve">authoritative where this paper summarizes rather than reproduces code.</w:t>
      </w:r>
    </w:p>
    <w:p>
      <w:pPr>
        <w:keepLines/>
        <w:widowControl/>
        <w:numPr>
          <w:ilvl w:val="0"/>
          <w:numId w:val="1001"/>
        </w:numPr>
        <w:spacing w:after="100" w:before="0" w:line="264" w:lineRule="auto"/>
      </w:pPr>
      <w:r>
        <w:t xml:space="preserve">Consensus-, genesis-, tokenomics- and node-runtime behavior belongs</w:t>
      </w:r>
      <w:r>
        <w:t xml:space="preserve"> </w:t>
      </w:r>
      <w:r>
        <w:t xml:space="preserve">to the Frozen L1 boundary.</w:t>
      </w:r>
    </w:p>
    <w:p>
      <w:pPr>
        <w:keepLines/>
        <w:widowControl/>
        <w:numPr>
          <w:ilvl w:val="0"/>
          <w:numId w:val="1001"/>
        </w:numPr>
        <w:spacing w:after="100" w:before="0" w:line="264" w:lineRule="auto"/>
      </w:pPr>
      <w:r>
        <w:t xml:space="preserve">Wallet, explorer, SDK, operator control plane and recovery</w:t>
      </w:r>
      <w:r>
        <w:t xml:space="preserve"> </w:t>
      </w:r>
      <w:r>
        <w:t xml:space="preserve">orchestration are external protocol consumers unless explicitly</w:t>
      </w:r>
      <w:r>
        <w:t xml:space="preserve"> </w:t>
      </w:r>
      <w:r>
        <w:t xml:space="preserve">referenced as evidence mechanisms.</w:t>
      </w:r>
    </w:p>
    <w:p>
      <w:pPr>
        <w:keepLines/>
        <w:widowControl/>
        <w:numPr>
          <w:ilvl w:val="0"/>
          <w:numId w:val="1001"/>
        </w:numPr>
        <w:spacing w:after="100" w:before="0" w:line="264" w:lineRule="auto"/>
      </w:pPr>
      <w:r>
        <w:t xml:space="preserve">An audit PASS is evidence about a named artifact; it is not</w:t>
      </w:r>
      <w:r>
        <w:t xml:space="preserve"> </w:t>
      </w:r>
      <w:r>
        <w:t xml:space="preserve">equivalent to public-mainnet approval.</w:t>
      </w:r>
    </w:p>
    <w:p>
      <w:pPr>
        <w:keepLines/>
        <w:widowControl/>
        <w:numPr>
          <w:ilvl w:val="0"/>
          <w:numId w:val="1001"/>
        </w:numPr>
        <w:spacing w:after="100" w:before="0" w:line="264" w:lineRule="auto"/>
      </w:pPr>
      <w:r>
        <w:t xml:space="preserve">Any future change that alters canonical bytes, state transition</w:t>
      </w:r>
      <w:r>
        <w:t xml:space="preserve"> </w:t>
      </w:r>
      <w:r>
        <w:t xml:space="preserve">semantics, genesis identity or consensus acceptance requires</w:t>
      </w:r>
      <w:r>
        <w:t xml:space="preserve"> </w:t>
      </w:r>
      <w:r>
        <w:t xml:space="preserve">explicit protocol versioning and renewed evidence.</w:t>
      </w:r>
    </w:p>
    <w:bookmarkEnd w:id="21"/>
    <w:bookmarkStart w:id="22" w:name="symbols-and-primitive-domains"/>
    <w:p>
      <w:pPr>
        <w:pStyle w:val="Heading1"/>
        <w:keepNext/>
        <w:keepLines/>
        <w:pageBreakBefore/>
        <w:widowControl/>
        <w:pBdr>
          <w:bottom w:val="single" w:sz="14" w:space="4" w:color="2E6FD8"/>
        </w:pBdr>
      </w:pPr>
      <w:r>
        <w:t xml:space="preserve">2. Symbols and Primitive Domains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Symbol</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Meaning</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Human-readable native monetary unit</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qnv-atom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Smallest ledger unit</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Decimal precision = 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units per QNV = 100,000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Maximum supply = 10,000,000,000 QNV</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M_atom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Maximum ledger supply =</w:t>
            </w:r>
            <w:r>
              <w:rPr>
                <w:rFonts w:ascii="Arial" w:hAnsi="Arial"/>
                <w:color w:val="1B222C"/>
                <w:sz w:val="18"/>
              </w:rPr>
              <w:t xml:space="preserve"> </w:t>
            </w:r>
            <w:r>
              <w:rPr>
                <w:rFonts w:ascii="Arial" w:hAnsi="Arial"/>
                <w:color w:val="1B222C"/>
                <w:sz w:val="18"/>
              </w:rPr>
              <w:t xml:space="preserve">1,000,000,000,000,000 qnv-atom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H(x)</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SHA-256 digest of byte string x</w:t>
            </w:r>
            <w:r>
              <w:rPr>
                <w:rFonts w:ascii="Arial" w:hAnsi="Arial"/>
                <w:color w:val="1B222C"/>
                <w:sz w:val="18"/>
              </w:rPr>
              <w:t xml:space="preserve"> </w:t>
            </w:r>
            <w:r>
              <w:rPr>
                <w:rFonts w:ascii="Arial" w:hAnsi="Arial"/>
                <w:color w:val="1B222C"/>
                <w:sz w:val="18"/>
              </w:rPr>
              <w:t xml:space="preserve">unless a narrower domain specifies</w:t>
            </w:r>
            <w:r>
              <w:rPr>
                <w:rFonts w:ascii="Arial" w:hAnsi="Arial"/>
                <w:color w:val="1B222C"/>
                <w:sz w:val="18"/>
              </w:rPr>
              <w:t xml:space="preserve"> </w:t>
            </w:r>
            <w:r>
              <w:rPr>
                <w:rFonts w:ascii="Arial" w:hAnsi="Arial"/>
                <w:color w:val="1B222C"/>
                <w:sz w:val="18"/>
              </w:rPr>
              <w:t xml:space="preserve">otherwise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C(x)</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Canonical serialization of x</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Authoritative AccountState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R(S)</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Deterministic state root of S</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h</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Block height</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q(n)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Byzantine quorum threshold for</w:t>
            </w:r>
            <w:r>
              <w:rPr>
                <w:rFonts w:ascii="Arial" w:hAnsi="Arial"/>
                <w:color w:val="1B222C"/>
                <w:sz w:val="18"/>
              </w:rPr>
              <w:t xml:space="preserve"> </w:t>
            </w:r>
            <w:r>
              <w:rPr>
                <w:rFonts w:ascii="Arial" w:hAnsi="Arial"/>
                <w:color w:val="1B222C"/>
                <w:sz w:val="18"/>
              </w:rPr>
              <w:t xml:space="preserve">validator-set size n</w:t>
            </w:r>
          </w:p>
        </w:tc>
      </w:tr>
    </w:tbl>
    <w:p>
      <w:pPr>
        <w:pStyle w:val="BodyText"/>
        <w:keepLines/>
        <w:widowControl/>
        <w:spacing w:after="100" w:before="0" w:line="264" w:lineRule="auto"/>
      </w:pPr>
      <w:r>
        <w:t xml:space="preserve">M_atom = M * U = 10,000,000,000 * 100,000 = 10^15</w:t>
      </w:r>
    </w:p>
    <w:p>
      <w:pPr>
        <w:pStyle w:val="BodyText"/>
        <w:keepLines/>
        <w:widowControl/>
        <w:spacing w:after="100" w:before="0" w:line="264" w:lineRule="auto"/>
      </w:pPr>
      <w:r>
        <w:t xml:space="preserve">0 &lt;= amount &lt;= M_atom</w:t>
      </w:r>
    </w:p>
    <w:p>
      <w:pPr>
        <w:pStyle w:val="BodyText"/>
        <w:keepLines/>
        <w:widowControl/>
        <w:spacing w:after="100" w:before="0" w:line="264" w:lineRule="auto"/>
      </w:pPr>
      <w:r>
        <w:t xml:space="preserve">The amount domain is deliberately below the cross-client safe-integer</w:t>
      </w:r>
      <w:r>
        <w:t xml:space="preserve"> </w:t>
      </w:r>
      <w:r>
        <w:t xml:space="preserve">canonicalization ceiling 2^53-1. Six decimal places would exceed that</w:t>
      </w:r>
      <w:r>
        <w:t xml:space="preserve"> </w:t>
      </w:r>
      <w:r>
        <w:t xml:space="preserve">contract for the full supply; five do not.</w:t>
      </w:r>
    </w:p>
    <w:bookmarkEnd w:id="22"/>
    <w:bookmarkStart w:id="23" w:name="X1c3910f033dccca80b0f770a96c9fbdc07ef5df"/>
    <w:p>
      <w:pPr>
        <w:pStyle w:val="Heading1"/>
        <w:keepNext/>
        <w:keepLines/>
        <w:pageBreakBefore/>
        <w:widowControl/>
        <w:pBdr>
          <w:bottom w:val="single" w:sz="14" w:space="4" w:color="2E6FD8"/>
        </w:pBdr>
      </w:pPr>
      <w:r>
        <w:t xml:space="preserve">3. Cryptographic and Canonicalization Primitives</w:t>
      </w:r>
    </w:p>
    <w:p>
      <w:pPr>
        <w:pStyle w:val="FirstParagraph"/>
        <w:keepLines/>
        <w:widowControl/>
        <w:spacing w:after="100" w:before="0" w:line="264" w:lineRule="auto"/>
      </w:pPr>
      <w:r>
        <w:t xml:space="preserve">Protocol identity depends on deterministic bytes. Qanovra therefore</w:t>
      </w:r>
      <w:r>
        <w:t xml:space="preserve"> </w:t>
      </w:r>
      <w:r>
        <w:t xml:space="preserve">treats canonical serialization as a consensus-adjacent invariant rather</w:t>
      </w:r>
      <w:r>
        <w:t xml:space="preserve"> </w:t>
      </w:r>
      <w:r>
        <w:t xml:space="preserve">than a convenience format.</w:t>
      </w:r>
    </w:p>
    <w:p>
      <w:pPr>
        <w:keepLines/>
        <w:widowControl/>
        <w:numPr>
          <w:ilvl w:val="0"/>
          <w:numId w:val="1002"/>
        </w:numPr>
        <w:spacing w:after="100" w:before="0" w:line="264" w:lineRule="auto"/>
      </w:pPr>
      <w:r>
        <w:t xml:space="preserve">SHA-256 is used for protocol hashes and identity binding in the</w:t>
      </w:r>
      <w:r>
        <w:t xml:space="preserve"> </w:t>
      </w:r>
      <w:r>
        <w:t xml:space="preserve">audited baseline.</w:t>
      </w:r>
    </w:p>
    <w:p>
      <w:pPr>
        <w:keepLines/>
        <w:widowControl/>
        <w:numPr>
          <w:ilvl w:val="0"/>
          <w:numId w:val="1002"/>
        </w:numPr>
        <w:spacing w:after="100" w:before="0" w:line="264" w:lineRule="auto"/>
      </w:pPr>
      <w:r>
        <w:t xml:space="preserve">Signed application and validator messages use domain-separated</w:t>
      </w:r>
      <w:r>
        <w:t xml:space="preserve"> </w:t>
      </w:r>
      <w:r>
        <w:t xml:space="preserve">signing bytes.</w:t>
      </w:r>
    </w:p>
    <w:p>
      <w:pPr>
        <w:keepLines/>
        <w:widowControl/>
        <w:numPr>
          <w:ilvl w:val="0"/>
          <w:numId w:val="1002"/>
        </w:numPr>
        <w:spacing w:after="100" w:before="0" w:line="264" w:lineRule="auto"/>
      </w:pPr>
      <w:r>
        <w:t xml:space="preserve">Ed25519 is used by the verified signing surfaces in the</w:t>
      </w:r>
      <w:r>
        <w:t xml:space="preserve"> </w:t>
      </w:r>
      <w:r>
        <w:t xml:space="preserve">protocol/evidence stack.</w:t>
      </w:r>
    </w:p>
    <w:p>
      <w:pPr>
        <w:keepLines/>
        <w:widowControl/>
        <w:numPr>
          <w:ilvl w:val="0"/>
          <w:numId w:val="1002"/>
        </w:numPr>
        <w:spacing w:after="100" w:before="0" w:line="264" w:lineRule="auto"/>
      </w:pPr>
      <w:r>
        <w:t xml:space="preserve">Canonical object keys are ordered consistently across Python,</w:t>
      </w:r>
      <w:r>
        <w:t xml:space="preserve"> </w:t>
      </w:r>
      <w:r>
        <w:t xml:space="preserve">JavaScript and Go using UTF-16 ordering semantics.</w:t>
      </w:r>
    </w:p>
    <w:p>
      <w:pPr>
        <w:keepLines/>
        <w:widowControl/>
        <w:numPr>
          <w:ilvl w:val="0"/>
          <w:numId w:val="1002"/>
        </w:numPr>
        <w:spacing w:after="100" w:before="0" w:line="264" w:lineRule="auto"/>
      </w:pPr>
      <w:r>
        <w:t xml:space="preserve">Lone surrogate code points are rejected rather than normalized</w:t>
      </w:r>
      <w:r>
        <w:t xml:space="preserve"> </w:t>
      </w:r>
      <w:r>
        <w:t xml:space="preserve">differently across clients.</w:t>
      </w:r>
    </w:p>
    <w:p>
      <w:pPr>
        <w:keepLines/>
        <w:widowControl/>
        <w:numPr>
          <w:ilvl w:val="0"/>
          <w:numId w:val="1002"/>
        </w:numPr>
        <w:spacing w:after="100" w:before="0" w:line="264" w:lineRule="auto"/>
      </w:pPr>
      <w:r>
        <w:t xml:space="preserve">Integer values outside the allowed canonical range are rejected</w:t>
      </w:r>
      <w:r>
        <w:t xml:space="preserve"> </w:t>
      </w:r>
      <w:r>
        <w:t xml:space="preserve">fail-closed.</w:t>
      </w:r>
    </w:p>
    <w:p>
      <w:pPr>
        <w:pStyle w:val="FirstParagraph"/>
        <w:keepLines/>
        <w:widowControl/>
        <w:spacing w:after="100" w:before="0" w:line="264" w:lineRule="auto"/>
      </w:pPr>
      <w:r>
        <w:t xml:space="preserve">digest(x) = SHA256(C(x))</w:t>
      </w:r>
    </w:p>
    <w:p>
      <w:pPr>
        <w:pStyle w:val="BodyText"/>
        <w:keepLines/>
        <w:widowControl/>
        <w:spacing w:after="100" w:before="0" w:line="264" w:lineRule="auto"/>
      </w:pPr>
      <w:r>
        <w:t xml:space="preserve">The cross-client gate has exercised thousands of canonicalization edge</w:t>
      </w:r>
      <w:r>
        <w:t xml:space="preserve"> </w:t>
      </w:r>
      <w:r>
        <w:t xml:space="preserve">cases, including non-ASCII keys, combining characters, emoji and</w:t>
      </w:r>
      <w:r>
        <w:t xml:space="preserve"> </w:t>
      </w:r>
      <w:r>
        <w:t xml:space="preserve">surrogate rejection. Implementations MUST produce byte-identical</w:t>
      </w:r>
      <w:r>
        <w:t xml:space="preserve"> </w:t>
      </w:r>
      <w:r>
        <w:t xml:space="preserve">canonical output for consensus-relevant objects.</w:t>
      </w:r>
    </w:p>
    <w:p>
      <w:pPr>
        <w:pStyle w:val="BodyText"/>
        <w:keepLines/>
        <w:widowControl/>
        <w:spacing w:after="100" w:before="0" w:line="264" w:lineRule="auto"/>
      </w:pPr>
      <w:r>
        <w:t>Cryptographic agility and post-quantum scope. The v3.7.5 baseline uses SHA-256 and Ed25519 on the verified surfaces. It MUST NOT be described as post-quantum secure or as already resistant to a cryptographically relevant quantum adversary. Protocol versioning in signing semantics is the migration hook: any future signature/hash-suite transition requires an explicit protocol version, activation rules, new canonical vectors, key-migration/rotation procedures and renewed audit evidence. The v2.4 publication-candidate design note identifies NIST-standardized successor signature families such as ML-DSA and/or SLH-DSA as plausible future targets, together with a staged acceptance window for legacy and successor signatures; this remains a future-version migration objective rather than a property claimed for v3.7.5.</w:t>
      </w:r>
    </w:p>
    <w:bookmarkEnd w:id="23"/>
    <w:bookmarkStart w:id="24" w:name="network-identity-and-genesis-binding"/>
    <w:p>
      <w:pPr>
        <w:pStyle w:val="Heading1"/>
        <w:keepNext/>
        <w:keepLines/>
        <w:widowControl/>
        <w:pBdr>
          <w:bottom w:val="single" w:sz="14" w:space="4" w:color="2E6FD8"/>
        </w:pBdr>
      </w:pPr>
      <w:r>
        <w:t xml:space="preserve">4. Network Identity and Genesis Binding</w:t>
      </w:r>
    </w:p>
    <w:p>
      <w:pPr>
        <w:pStyle w:val="FirstParagraph"/>
        <w:keepLines/>
        <w:widowControl/>
        <w:spacing w:after="100" w:before="0" w:line="264" w:lineRule="auto"/>
      </w:pPr>
      <w:r>
        <w:t xml:space="preserve">The Qanovra network identity is derived from the canonical genesis</w:t>
      </w:r>
      <w:r>
        <w:t xml:space="preserve"> </w:t>
      </w:r>
      <w:r>
        <w:t xml:space="preserve">bytes. A node MUST NOT accept a configured Chain ID that is inconsistent</w:t>
      </w:r>
      <w:r>
        <w:t xml:space="preserve"> </w:t>
      </w:r>
      <w:r>
        <w:t xml:space="preserve">with the genesis-derived identity.</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Item</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v3.7.5 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 hash</w:t>
            </w:r>
          </w:p>
        </w:tc>
        <w:tc>
          <w:tcPr>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Derivation</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 + first 24 hexadecimal characters of genesis hash</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Genesis changed from v3.7.3/v3.7.4</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No</w:t>
            </w:r>
          </w:p>
        </w:tc>
      </w:tr>
    </w:tbl>
    <w:p>
      <w:pPr>
        <w:pStyle w:val="BodyText"/>
        <w:keepLines/>
        <w:widowControl/>
        <w:spacing w:after="100" w:before="0" w:line="264" w:lineRule="auto"/>
      </w:pPr>
      <w:r>
        <w:t xml:space="preserve">chain_id = 'qnv-' || hex(SHA256(genesis_bytes))[0:24]</w:t>
      </w:r>
    </w:p>
    <w:p>
      <w:pPr>
        <w:pStyle w:val="BodyText"/>
        <w:keepLines/>
        <w:widowControl/>
        <w:spacing w:after="100" w:before="0" w:line="264" w:lineRule="auto"/>
      </w:pPr>
      <w:r>
        <w:t xml:space="preserve">Genesis initialization is deterministic and idempotent for the same</w:t>
      </w:r>
      <w:r>
        <w:t xml:space="preserve"> </w:t>
      </w:r>
      <w:r>
        <w:t xml:space="preserve">genesis hash. Outside laboratory profiles, synthetic genesis authorities</w:t>
      </w:r>
      <w:r>
        <w:t xml:space="preserve"> </w:t>
      </w:r>
      <w:r>
        <w:t xml:space="preserve">are forbidden and a real genesis file is required.</w:t>
      </w:r>
    </w:p>
    <w:bookmarkEnd w:id="24"/>
    <w:bookmarkStart w:id="25" w:name="account-model-and-namespaces"/>
    <w:p>
      <w:pPr>
        <w:pStyle w:val="Heading1"/>
        <w:keepNext/>
        <w:keepLines/>
        <w:pageBreakBefore/>
        <w:widowControl/>
        <w:pBdr>
          <w:bottom w:val="single" w:sz="14" w:space="4" w:color="2E6FD8"/>
        </w:pBdr>
      </w:pPr>
      <w:r>
        <w:t xml:space="preserve">5. Account Model and Namespaces</w:t>
      </w:r>
    </w:p>
    <w:p>
      <w:pPr>
        <w:pStyle w:val="FirstParagraph"/>
        <w:keepLines/>
        <w:widowControl/>
        <w:spacing w:after="100" w:before="0" w:line="264" w:lineRule="auto"/>
      </w:pPr>
      <w:r>
        <w:t xml:space="preserve">Qanovra uses one authoritative AccountState. Parallel balance ledgers</w:t>
      </w:r>
      <w:r>
        <w:t xml:space="preserve"> </w:t>
      </w:r>
      <w:r>
        <w:t xml:space="preserve">are prohibited. Tokenomics is a policy layer over AccountState, not a</w:t>
      </w:r>
      <w:r>
        <w:t xml:space="preserve"> </w:t>
      </w:r>
      <w:r>
        <w:t xml:space="preserve">second ledger.</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Namespace</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Purpose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40-hex user account identifier</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Ordinary key-derived user account</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qnv:system:vault:*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Protocol-controlled allocation</w:t>
            </w:r>
            <w:r>
              <w:rPr>
                <w:rFonts w:ascii="Arial" w:hAnsi="Arial"/>
                <w:color w:val="1B222C"/>
                <w:sz w:val="18"/>
              </w:rPr>
              <w:t xml:space="preserve"> </w:t>
            </w:r>
            <w:r>
              <w:rPr>
                <w:rFonts w:ascii="Arial" w:hAnsi="Arial"/>
                <w:color w:val="1B222C"/>
                <w:sz w:val="18"/>
              </w:rPr>
              <w:t xml:space="preserve">vaults</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qnv:system:*</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Reserved protocol namespace,</w:t>
            </w:r>
            <w:r>
              <w:rPr>
                <w:rFonts w:ascii="Arial" w:hAnsi="Arial"/>
                <w:color w:val="1B222C"/>
                <w:sz w:val="18"/>
              </w:rPr>
              <w:t xml:space="preserve"> </w:t>
            </w:r>
            <w:r>
              <w:rPr>
                <w:rFonts w:ascii="Arial" w:hAnsi="Arial"/>
                <w:color w:val="1B222C"/>
                <w:sz w:val="18"/>
              </w:rPr>
              <w:t xml:space="preserve">including fee/staking system</w:t>
            </w:r>
            <w:r>
              <w:rPr>
                <w:rFonts w:ascii="Arial" w:hAnsi="Arial"/>
                <w:color w:val="1B222C"/>
                <w:sz w:val="18"/>
              </w:rPr>
              <w:t xml:space="preserve"> </w:t>
            </w:r>
            <w:r>
              <w:rPr>
                <w:rFonts w:ascii="Arial" w:hAnsi="Arial"/>
                <w:color w:val="1B222C"/>
                <w:sz w:val="18"/>
              </w:rPr>
              <w:t xml:space="preserve">accounts</w:t>
            </w:r>
          </w:p>
        </w:tc>
      </w:tr>
    </w:tbl>
    <w:p>
      <w:pPr>
        <w:pStyle w:val="BodyText"/>
        <w:keepLines/>
        <w:widowControl/>
        <w:spacing w:after="100" w:before="0" w:line="264" w:lineRule="auto"/>
      </w:pPr>
      <w:r>
        <w:t xml:space="preserve">The reserved qnv:system: prefix cannot be produced by the ordinary</w:t>
      </w:r>
      <w:r>
        <w:t xml:space="preserve"> </w:t>
      </w:r>
      <w:r>
        <w:t xml:space="preserve">user-account derivation format. This creates structural separation</w:t>
      </w:r>
      <w:r>
        <w:t xml:space="preserve"> </w:t>
      </w:r>
      <w:r>
        <w:t xml:space="preserve">between user-controlled and protocol-controlled balances.</w:t>
      </w:r>
    </w:p>
    <w:p>
      <w:pPr>
        <w:pStyle w:val="BodyText"/>
        <w:keepLines/>
        <w:widowControl/>
        <w:spacing w:after="100" w:before="0" w:line="264" w:lineRule="auto"/>
      </w:pPr>
      <w:r>
        <w:t xml:space="preserve">vault_account_id(name, authority) = 'qnv:system:vault:' ||</w:t>
      </w:r>
      <w:r>
        <w:t xml:space="preserve"> </w:t>
      </w:r>
      <w:r>
        <w:t xml:space="preserve">SHA256(domain || name || authority)[0:40]</w:t>
      </w:r>
    </w:p>
    <w:p>
      <w:pPr>
        <w:pStyle w:val="BodyText"/>
        <w:keepLines/>
        <w:widowControl/>
        <w:spacing w:after="100" w:before="0" w:line="264" w:lineRule="auto"/>
      </w:pPr>
      <w:r>
        <w:t xml:space="preserve">A direct ordinary transaction attempting to spend from a protocol vault</w:t>
      </w:r>
      <w:r>
        <w:t xml:space="preserve"> </w:t>
      </w:r>
      <w:r>
        <w:t xml:space="preserve">MUST fail because no ordinary user key derives that system account.</w:t>
      </w:r>
    </w:p>
    <w:p>
      <w:pPr>
        <w:pStyle w:val="BodyText"/>
        <w:keepLines/>
        <w:widowControl/>
        <w:spacing w:after="100" w:before="0" w:line="264" w:lineRule="auto"/>
      </w:pPr>
      <w:r>
        <w:t>Ordinary user-account derivation boundary. The current evidence set establishes a structurally separate ordinary user-account format and the reserved qnv:system: namespace, but does not provide enough canonical L1 evidence here to publish the exact public-key-to-account derivation function without guessing. Publication of that formula remains a re-audit requirement. Wallet-level address objects MUST NOT be silently substituted for the L1 account identifier: the exact L1 input encoding, hash/truncation rule and test vectors must be taken from the frozen L1 evidence set. User-account migration design note: because ordinary user accounts are key-derived, any future cryptographic-suite migration SHOULD provide an authenticated rebinding or migration transaction that binds the legacy account, the successor public key/account representation and replay-protected authorization by the legacy key; until such a future protocol version is standardized, holder migration would otherwise require explicit balance transfer.</w:t>
      </w:r>
    </w:p>
    <w:bookmarkEnd w:id="25"/>
    <w:bookmarkStart w:id="26" w:name="state-model"/>
    <w:p>
      <w:pPr>
        <w:pStyle w:val="Heading1"/>
        <w:keepNext/>
        <w:keepLines/>
        <w:pageBreakBefore/>
        <w:widowControl/>
        <w:pBdr>
          <w:bottom w:val="single" w:sz="14" w:space="4" w:color="2E6FD8"/>
        </w:pBdr>
      </w:pPr>
      <w:r>
        <w:t xml:space="preserve">6. State Model</w:t>
      </w:r>
    </w:p>
    <w:p>
      <w:pPr>
        <w:pStyle w:val="FirstParagraph"/>
        <w:keepLines/>
        <w:widowControl/>
        <w:spacing w:after="100" w:before="0" w:line="264" w:lineRule="auto"/>
      </w:pPr>
      <w:r>
        <w:t xml:space="preserve">Let S be the complete authoritative ledger state. At minimum, state</w:t>
      </w:r>
      <w:r>
        <w:t xml:space="preserve"> </w:t>
      </w:r>
      <w:r>
        <w:t xml:space="preserve">contains account balances and nonces plus protocol metadata required to</w:t>
      </w:r>
      <w:r>
        <w:t xml:space="preserve"> </w:t>
      </w:r>
      <w:r>
        <w:t xml:space="preserve">enforce supply and system invariants. The persisted chain tip and state</w:t>
      </w:r>
      <w:r>
        <w:t xml:space="preserve"> </w:t>
      </w:r>
      <w:r>
        <w:t xml:space="preserve">root MUST reconcile on startup.</w:t>
      </w:r>
    </w:p>
    <w:p>
      <w:pPr>
        <w:pStyle w:val="BodyText"/>
        <w:keepLines/>
        <w:widowControl/>
        <w:spacing w:after="100" w:before="0" w:line="264" w:lineRule="auto"/>
      </w:pPr>
      <w:r>
        <w:t xml:space="preserve">S' = Apply(S, B)</w:t>
      </w:r>
    </w:p>
    <w:p>
      <w:pPr>
        <w:pStyle w:val="BodyText"/>
        <w:keepLines/>
        <w:widowControl/>
        <w:spacing w:after="100" w:before="0" w:line="264" w:lineRule="auto"/>
      </w:pPr>
      <w:r>
        <w:t xml:space="preserve">R_expected = B.header.state_root</w:t>
      </w:r>
    </w:p>
    <w:p>
      <w:pPr>
        <w:pStyle w:val="BodyText"/>
        <w:keepLines/>
        <w:widowControl/>
        <w:spacing w:after="100" w:before="0" w:line="264" w:lineRule="auto"/>
      </w:pPr>
      <w:r>
        <w:t xml:space="preserve">Accept(B) only if R(S') = R_expected</w:t>
      </w:r>
    </w:p>
    <w:p>
      <w:pPr>
        <w:pStyle w:val="BodyText"/>
        <w:keepLines/>
        <w:widowControl/>
        <w:spacing w:after="100" w:before="0" w:line="264" w:lineRule="auto"/>
      </w:pPr>
      <w:r>
        <w:t xml:space="preserve">Finalization is atomic across chain and state persistence. A failed</w:t>
      </w:r>
      <w:r>
        <w:t xml:space="preserve"> </w:t>
      </w:r>
      <w:r>
        <w:t xml:space="preserve">state-root comparison or already-finalized height MUST leave both state</w:t>
      </w:r>
      <w:r>
        <w:t xml:space="preserve"> </w:t>
      </w:r>
      <w:r>
        <w:t xml:space="preserve">and chain unchanged.</w:t>
      </w:r>
    </w:p>
    <w:p>
      <w:pPr>
        <w:keepLines/>
        <w:widowControl/>
        <w:numPr>
          <w:ilvl w:val="0"/>
          <w:numId w:val="1003"/>
        </w:numPr>
        <w:spacing w:after="100" w:before="0" w:line="264" w:lineRule="auto"/>
      </w:pPr>
      <w:r>
        <w:t xml:space="preserve">Account balances MUST remain non-negative.</w:t>
      </w:r>
    </w:p>
    <w:p>
      <w:pPr>
        <w:keepLines/>
        <w:widowControl/>
        <w:numPr>
          <w:ilvl w:val="0"/>
          <w:numId w:val="1003"/>
        </w:numPr>
        <w:spacing w:after="100" w:before="0" w:line="264" w:lineRule="auto"/>
      </w:pPr>
      <w:r>
        <w:t xml:space="preserve">Supply accounting MUST be checked at commit boundaries.</w:t>
      </w:r>
    </w:p>
    <w:p>
      <w:pPr>
        <w:keepLines/>
        <w:widowControl/>
        <w:numPr>
          <w:ilvl w:val="0"/>
          <w:numId w:val="1003"/>
        </w:numPr>
        <w:spacing w:after="100" w:before="0" w:line="264" w:lineRule="auto"/>
      </w:pPr>
      <w:r>
        <w:t xml:space="preserve">State and chain persistence share an atomic transaction boundary in</w:t>
      </w:r>
      <w:r>
        <w:t xml:space="preserve"> </w:t>
      </w:r>
      <w:r>
        <w:t xml:space="preserve">the remediated architecture.</w:t>
      </w:r>
    </w:p>
    <w:p>
      <w:pPr>
        <w:keepLines/>
        <w:widowControl/>
        <w:numPr>
          <w:ilvl w:val="0"/>
          <w:numId w:val="1003"/>
        </w:numPr>
        <w:spacing w:after="100" w:before="0" w:line="264" w:lineRule="auto"/>
      </w:pPr>
      <w:r>
        <w:t xml:space="preserve">On restart, tip.state_root MUST equal the current authoritative</w:t>
      </w:r>
      <w:r>
        <w:t xml:space="preserve"> </w:t>
      </w:r>
      <w:r>
        <w:t xml:space="preserve">state root.</w:t>
      </w:r>
    </w:p>
    <w:bookmarkEnd w:id="26"/>
    <w:bookmarkStart w:id="27" w:name="supply-invariant"/>
    <w:p>
      <w:pPr>
        <w:pStyle w:val="Heading1"/>
        <w:keepNext/>
        <w:keepLines/>
        <w:widowControl/>
        <w:pBdr>
          <w:bottom w:val="single" w:sz="14" w:space="4" w:color="2E6FD8"/>
        </w:pBdr>
      </w:pPr>
      <w:r>
        <w:t xml:space="preserve">7. Supply Invariant</w:t>
      </w:r>
    </w:p>
    <w:p>
      <w:pPr>
        <w:pStyle w:val="FirstParagraph"/>
        <w:keepLines/>
        <w:widowControl/>
        <w:spacing w:after="100" w:before="0" w:line="264" w:lineRule="auto"/>
      </w:pPr>
      <w:r>
        <w:t xml:space="preserve">Qanovra's monetary invariant is enforced against AccountState, not</w:t>
      </w:r>
      <w:r>
        <w:t xml:space="preserve"> </w:t>
      </w:r>
      <w:r>
        <w:t xml:space="preserve">against a presentation-layer tokenomics object.</w:t>
      </w:r>
    </w:p>
    <w:p>
      <w:pPr>
        <w:pStyle w:val="BodyText"/>
        <w:keepLines/>
        <w:widowControl/>
        <w:spacing w:after="100" w:before="0" w:line="264" w:lineRule="auto"/>
      </w:pPr>
      <w:r>
        <w:t xml:space="preserve">sum(account_balances) + burned_supply = expected_supply</w:t>
      </w:r>
    </w:p>
    <w:p>
      <w:pPr>
        <w:pStyle w:val="BodyText"/>
        <w:keepLines/>
        <w:widowControl/>
        <w:spacing w:after="100" w:before="0" w:line="264" w:lineRule="auto"/>
      </w:pPr>
      <w:r>
        <w:t xml:space="preserve">expected_supply = M_atom</w:t>
      </w:r>
    </w:p>
    <w:p>
      <w:pPr>
        <w:pStyle w:val="BodyText"/>
        <w:keepLines/>
        <w:widowControl/>
        <w:spacing w:after="100" w:before="0" w:line="264" w:lineRule="auto"/>
      </w:pPr>
      <w:r>
        <w:t xml:space="preserve">Transfers conserve supply. Slashing that is defined as burn increases</w:t>
      </w:r>
      <w:r>
        <w:t xml:space="preserve"> </w:t>
      </w:r>
      <w:r>
        <w:t xml:space="preserve">burned_supply by the exact debited amount. Reward accrual MUST NOT</w:t>
      </w:r>
      <w:r>
        <w:t xml:space="preserve"> </w:t>
      </w:r>
      <w:r>
        <w:t xml:space="preserve">create unbacked units; distributions must be funded from an authorized</w:t>
      </w:r>
      <w:r>
        <w:t xml:space="preserve"> </w:t>
      </w:r>
      <w:r>
        <w:t xml:space="preserve">source or otherwise preserve the invariant.</w:t>
      </w:r>
    </w:p>
    <w:p>
      <w:pPr>
        <w:pStyle w:val="BodyText"/>
        <w:keepLines/>
        <w:widowControl/>
        <w:spacing w:after="100" w:before="0" w:line="264" w:lineRule="auto"/>
      </w:pPr>
      <w:r>
        <w:t xml:space="preserve">Supply fuzzing in the v3.7.x remediation line repeatedly preserved the</w:t>
      </w:r>
      <w:r>
        <w:t xml:space="preserve"> </w:t>
      </w:r>
      <w:r>
        <w:t xml:space="preserve">full 10 billion QNV equivalent across randomized state transitions.</w:t>
      </w:r>
    </w:p>
    <w:bookmarkEnd w:id="27"/>
    <w:bookmarkStart w:id="28" w:name="transaction-model"/>
    <w:p>
      <w:pPr>
        <w:pStyle w:val="Heading1"/>
        <w:keepNext/>
        <w:keepLines/>
        <w:pageBreakBefore/>
        <w:widowControl/>
        <w:pBdr>
          <w:bottom w:val="single" w:sz="14" w:space="4" w:color="2E6FD8"/>
        </w:pBdr>
      </w:pPr>
      <w:r>
        <w:t xml:space="preserve">8. Transaction Model</w:t>
      </w:r>
    </w:p>
    <w:p>
      <w:pPr>
        <w:pStyle w:val="FirstParagraph"/>
        <w:keepLines/>
        <w:widowControl/>
        <w:spacing w:after="100" w:before="0" w:line="264" w:lineRule="auto"/>
      </w:pPr>
      <w:r>
        <w:t xml:space="preserve">A transaction is a signed state-transition request bound to protocol</w:t>
      </w:r>
      <w:r>
        <w:t xml:space="preserve"> </w:t>
      </w:r>
      <w:r>
        <w:t xml:space="preserve">identity. The exact field schema remains implementation-authoritative,</w:t>
      </w:r>
      <w:r>
        <w:t xml:space="preserve"> </w:t>
      </w:r>
      <w:r>
        <w:t xml:space="preserve">but the audited behavior establishes the following acceptance</w:t>
      </w:r>
      <w:r>
        <w:t xml:space="preserve"> </w:t>
      </w:r>
      <w:r>
        <w:t xml:space="preserve">dimensions: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Dimension</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Required property</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Sender</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Must correspond to the signing</w:t>
            </w:r>
            <w:r>
              <w:rPr>
                <w:rFonts w:ascii="Arial" w:hAnsi="Arial"/>
                <w:color w:val="1B222C"/>
                <w:sz w:val="18"/>
              </w:rPr>
              <w:t xml:space="preserve"> </w:t>
            </w:r>
            <w:r>
              <w:rPr>
                <w:rFonts w:ascii="Arial" w:hAnsi="Arial"/>
                <w:color w:val="1B222C"/>
                <w:sz w:val="18"/>
              </w:rPr>
              <w:t xml:space="preserve">key/account derivation</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Network</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Bound to Chain ID / genesis</w:t>
            </w:r>
            <w:r>
              <w:rPr>
                <w:rFonts w:ascii="Arial" w:hAnsi="Arial"/>
                <w:color w:val="1B222C"/>
                <w:sz w:val="18"/>
              </w:rPr>
              <w:t xml:space="preserve"> </w:t>
            </w:r>
            <w:r>
              <w:rPr>
                <w:rFonts w:ascii="Arial" w:hAnsi="Arial"/>
                <w:color w:val="1B222C"/>
                <w:sz w:val="18"/>
              </w:rPr>
              <w:t xml:space="preserve">identity</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Protocol</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Signing bytes include protocol</w:t>
            </w:r>
            <w:r>
              <w:rPr>
                <w:rFonts w:ascii="Arial" w:hAnsi="Arial"/>
                <w:color w:val="1B222C"/>
                <w:sz w:val="18"/>
              </w:rPr>
              <w:t xml:space="preserve"> </w:t>
            </w:r>
            <w:r>
              <w:rPr>
                <w:rFonts w:ascii="Arial" w:hAnsi="Arial"/>
                <w:color w:val="1B222C"/>
                <w:sz w:val="18"/>
              </w:rPr>
              <w:t xml:space="preserve">version</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Nonce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Must satisfy account</w:t>
            </w:r>
            <w:r>
              <w:rPr>
                <w:rFonts w:ascii="Arial" w:hAnsi="Arial"/>
                <w:color w:val="1B222C"/>
                <w:sz w:val="18"/>
              </w:rPr>
              <w:t xml:space="preserve"> </w:t>
            </w:r>
            <w:r>
              <w:rPr>
                <w:rFonts w:ascii="Arial" w:hAnsi="Arial"/>
                <w:color w:val="1B222C"/>
                <w:sz w:val="18"/>
              </w:rPr>
              <w:t xml:space="preserve">replay/ordering rules</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Amount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Integer qnv-atom, bounded by</w:t>
            </w:r>
            <w:r>
              <w:rPr>
                <w:rFonts w:ascii="Arial" w:hAnsi="Arial"/>
                <w:color w:val="1B222C"/>
                <w:sz w:val="18"/>
              </w:rPr>
              <w:t xml:space="preserve"> </w:t>
            </w:r>
            <w:r>
              <w:rPr>
                <w:rFonts w:ascii="Arial" w:hAnsi="Arial"/>
                <w:color w:val="1B222C"/>
                <w:sz w:val="18"/>
              </w:rPr>
              <w:t xml:space="preserve">protocol amount limits</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Fee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Validated and accounted in state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Expiry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Transactions may carry an</w:t>
            </w:r>
            <w:r>
              <w:rPr>
                <w:rFonts w:ascii="Arial" w:hAnsi="Arial"/>
                <w:color w:val="1B222C"/>
                <w:sz w:val="18"/>
              </w:rPr>
              <w:t xml:space="preserve"> </w:t>
            </w:r>
            <w:r>
              <w:rPr>
                <w:rFonts w:ascii="Arial" w:hAnsi="Arial"/>
                <w:color w:val="1B222C"/>
                <w:sz w:val="18"/>
              </w:rPr>
              <w:t xml:space="preserve">expiry-height bound</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Signature</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Must verify over canonical,</w:t>
            </w:r>
            <w:r>
              <w:rPr>
                <w:rFonts w:ascii="Arial" w:hAnsi="Arial"/>
                <w:color w:val="1B222C"/>
                <w:sz w:val="18"/>
              </w:rPr>
              <w:t xml:space="preserve"> </w:t>
            </w:r>
            <w:r>
              <w:rPr>
                <w:rFonts w:ascii="Arial" w:hAnsi="Arial"/>
                <w:color w:val="1B222C"/>
                <w:sz w:val="18"/>
              </w:rPr>
              <w:t xml:space="preserve">domain-bound signing bytes</w:t>
            </w:r>
          </w:p>
        </w:tc>
      </w:tr>
    </w:tbl>
    <w:p>
      <w:pPr>
        <w:pStyle w:val="BodyText"/>
        <w:keepLines/>
        <w:widowControl/>
        <w:spacing w:after="100" w:before="0" w:line="264" w:lineRule="auto"/>
      </w:pPr>
      <w:r>
        <w:t xml:space="preserve">tx_id = H(C(transaction_envelope))</w:t>
      </w:r>
    </w:p>
    <w:p>
      <w:pPr>
        <w:pStyle w:val="BodyText"/>
        <w:keepLines/>
        <w:widowControl/>
        <w:spacing w:after="100" w:before="0" w:line="264" w:lineRule="auto"/>
      </w:pPr>
      <w:r>
        <w:t xml:space="preserve">Verify(pk_sender, signing_bytes(tx), signature) = true</w:t>
      </w:r>
    </w:p>
    <w:p>
      <w:pPr>
        <w:pStyle w:val="BodyText"/>
        <w:keepLines/>
        <w:widowControl/>
        <w:spacing w:after="100" w:before="0" w:line="264" w:lineRule="auto"/>
      </w:pPr>
      <w:r>
        <w:t xml:space="preserve">A transaction signed for another network identity MUST NOT validate on</w:t>
      </w:r>
      <w:r>
        <w:t xml:space="preserve"> </w:t>
      </w:r>
      <w:r>
        <w:t xml:space="preserve">Qanovra. Protocol upgrades must account for in-flight transactions</w:t>
      </w:r>
      <w:r>
        <w:t xml:space="preserve"> </w:t>
      </w:r>
      <w:r>
        <w:t xml:space="preserve">because protocol_version is part of transaction signing bytes.</w:t>
      </w:r>
    </w:p>
    <w:bookmarkEnd w:id="28"/>
    <w:bookmarkStart w:id="29" w:name="mempool-and-admission"/>
    <w:p>
      <w:pPr>
        <w:pStyle w:val="Heading1"/>
        <w:keepNext/>
        <w:keepLines/>
        <w:widowControl/>
        <w:pBdr>
          <w:bottom w:val="single" w:sz="14" w:space="4" w:color="2E6FD8"/>
        </w:pBdr>
      </w:pPr>
      <w:r>
        <w:t xml:space="preserve">9. Mempool and Admission</w:t>
      </w:r>
    </w:p>
    <w:p>
      <w:pPr>
        <w:pStyle w:val="FirstParagraph"/>
        <w:keepLines/>
        <w:widowControl/>
        <w:spacing w:after="100" w:before="0" w:line="264" w:lineRule="auto"/>
      </w:pPr>
      <w:r>
        <w:t xml:space="preserve">Admission is not finalization. A transaction MAY enter a bounded mempool</w:t>
      </w:r>
      <w:r>
        <w:t xml:space="preserve"> </w:t>
      </w:r>
      <w:r>
        <w:t xml:space="preserve">only after basic structural, signature, replay, expiry and policy</w:t>
      </w:r>
      <w:r>
        <w:t xml:space="preserve"> </w:t>
      </w:r>
      <w:r>
        <w:t xml:space="preserve">checks. Final validity is re-evaluated against the state used for block</w:t>
      </w:r>
      <w:r>
        <w:t xml:space="preserve"> </w:t>
      </w:r>
      <w:r>
        <w:t xml:space="preserve">execution.</w:t>
      </w:r>
    </w:p>
    <w:p>
      <w:pPr>
        <w:keepLines/>
        <w:widowControl/>
        <w:numPr>
          <w:ilvl w:val="0"/>
          <w:numId w:val="1004"/>
        </w:numPr>
        <w:spacing w:after="100" w:before="0" w:line="264" w:lineRule="auto"/>
      </w:pPr>
      <w:r>
        <w:t xml:space="preserve">Duplicate or stale transaction frames are rejected.</w:t>
      </w:r>
    </w:p>
    <w:p>
      <w:pPr>
        <w:keepLines/>
        <w:widowControl/>
        <w:numPr>
          <w:ilvl w:val="0"/>
          <w:numId w:val="1004"/>
        </w:numPr>
        <w:spacing w:after="100" w:before="0" w:line="264" w:lineRule="auto"/>
      </w:pPr>
      <w:r>
        <w:t xml:space="preserve">Resource limits are bounded to prevent unbounded peer or request</w:t>
      </w:r>
      <w:r>
        <w:t xml:space="preserve"> </w:t>
      </w:r>
      <w:r>
        <w:t xml:space="preserve">growth.</w:t>
      </w:r>
    </w:p>
    <w:p>
      <w:pPr>
        <w:keepLines/>
        <w:widowControl/>
        <w:numPr>
          <w:ilvl w:val="0"/>
          <w:numId w:val="1004"/>
        </w:numPr>
        <w:spacing w:after="100" w:before="0" w:line="264" w:lineRule="auto"/>
      </w:pPr>
      <w:r>
        <w:t xml:space="preserve">Upgrade activation requires revalidation of pending transactions</w:t>
      </w:r>
      <w:r>
        <w:t xml:space="preserve"> </w:t>
      </w:r>
      <w:r>
        <w:t xml:space="preserve">when signing semantics change.</w:t>
      </w:r>
    </w:p>
    <w:bookmarkEnd w:id="29"/>
    <w:bookmarkStart w:id="30" w:name="block-and-state-transition-semantics"/>
    <w:p>
      <w:pPr>
        <w:pStyle w:val="Heading1"/>
        <w:keepNext/>
        <w:keepLines/>
        <w:widowControl/>
        <w:pBdr>
          <w:bottom w:val="single" w:sz="14" w:space="4" w:color="2E6FD8"/>
        </w:pBdr>
      </w:pPr>
      <w:r>
        <w:t xml:space="preserve">10. Block and State-Transition Semantics</w:t>
      </w:r>
    </w:p>
    <w:p>
      <w:pPr>
        <w:pStyle w:val="FirstParagraph"/>
        <w:keepLines/>
        <w:widowControl/>
        <w:spacing w:after="100" w:before="0" w:line="264" w:lineRule="auto"/>
      </w:pPr>
      <w:r>
        <w:t xml:space="preserve">A block commits an ordered set of transactions and a resulting state</w:t>
      </w:r>
      <w:r>
        <w:t xml:space="preserve"> </w:t>
      </w:r>
      <w:r>
        <w:t xml:space="preserve">root. The proposer constructs a candidate against the current state;</w:t>
      </w:r>
      <w:r>
        <w:t xml:space="preserve"> </w:t>
      </w:r>
      <w:r>
        <w:t xml:space="preserve">validators independently validate the proposal before voting.</w:t>
      </w:r>
    </w:p>
    <w:p>
      <w:pPr>
        <w:pStyle w:val="BodyText"/>
        <w:keepLines/>
        <w:widowControl/>
        <w:spacing w:after="100" w:before="0" w:line="264" w:lineRule="auto"/>
      </w:pPr>
      <w:r>
        <w:t xml:space="preserve">S_0 := current authoritative state</w:t>
      </w:r>
    </w:p>
    <w:p>
      <w:pPr>
        <w:pStyle w:val="BodyText"/>
        <w:keepLines/>
        <w:widowControl/>
        <w:spacing w:after="100" w:before="0" w:line="264" w:lineRule="auto"/>
      </w:pPr>
      <w:r>
        <w:t xml:space="preserve">S_i := ApplyTx(S_{i-1}, tx_i), i = 1..k</w:t>
      </w:r>
    </w:p>
    <w:p>
      <w:pPr>
        <w:pStyle w:val="BodyText"/>
        <w:keepLines/>
        <w:widowControl/>
        <w:spacing w:after="100" w:before="0" w:line="264" w:lineRule="auto"/>
      </w:pPr>
      <w:r>
        <w:t xml:space="preserve">B.header.state_root := R(S_k)</w:t>
      </w:r>
    </w:p>
    <w:p>
      <w:pPr>
        <w:pStyle w:val="BodyText"/>
        <w:keepLines/>
        <w:widowControl/>
        <w:spacing w:after="100" w:before="0" w:line="264" w:lineRule="auto"/>
      </w:pPr>
      <w:r>
        <w:t xml:space="preserve">A valid finalization path performs preview/execution checks before the</w:t>
      </w:r>
      <w:r>
        <w:t xml:space="preserve"> </w:t>
      </w:r>
      <w:r>
        <w:t xml:space="preserve">atomic commit. A second block at an already-finalized height MUST be</w:t>
      </w:r>
      <w:r>
        <w:t xml:space="preserve"> </w:t>
      </w:r>
      <w:r>
        <w:t xml:space="preserve">rejected without mutating state.</w:t>
      </w:r>
    </w:p>
    <w:bookmarkEnd w:id="30"/>
    <w:bookmarkStart w:id="31" w:name="consensus-quorum"/>
    <w:p>
      <w:pPr>
        <w:pStyle w:val="Heading1"/>
        <w:keepNext/>
        <w:keepLines/>
        <w:pageBreakBefore/>
        <w:widowControl/>
        <w:pBdr>
          <w:bottom w:val="single" w:sz="14" w:space="4" w:color="2E6FD8"/>
        </w:pBdr>
      </w:pPr>
      <w:r>
        <w:t xml:space="preserve">11. Consensus Quorum</w:t>
      </w:r>
    </w:p>
    <w:p>
      <w:pPr>
        <w:pStyle w:val="FirstParagraph"/>
        <w:keepLines/>
        <w:widowControl/>
        <w:spacing w:after="100" w:before="0" w:line="264" w:lineRule="auto"/>
      </w:pPr>
      <w:r>
        <w:t xml:space="preserve">The verified quorum property is Byzantine-majority style and</w:t>
      </w:r>
      <w:r>
        <w:t xml:space="preserve"> </w:t>
      </w:r>
      <w:r>
        <w:t xml:space="preserve">validator-count based in the audited baseline.</w:t>
      </w:r>
    </w:p>
    <w:p>
      <w:pPr>
        <w:pStyle w:val="BodyText"/>
        <w:keepLines/>
        <w:widowControl/>
        <w:spacing w:after="100" w:before="0" w:line="264" w:lineRule="auto"/>
      </w:pPr>
      <w:r>
        <w:t xml:space="preserve">q(n) = floor(2n/3) + 1</w:t>
      </w:r>
    </w:p>
    <w:p>
      <w:pPr>
        <w:pStyle w:val="BodyText"/>
        <w:keepLines/>
        <w:widowControl/>
        <w:spacing w:after="100" w:before="0" w:line="264" w:lineRule="auto"/>
      </w:pPr>
      <w:r>
        <w:t xml:space="preserve">q(n) &gt; 2n/3</w:t>
      </w:r>
    </w:p>
    <w:p>
      <w:pPr>
        <w:pStyle w:val="BodyText"/>
        <w:keepLines/>
        <w:widowControl/>
        <w:spacing w:after="100" w:before="0" w:line="264" w:lineRule="auto"/>
      </w:pPr>
      <w:r>
        <w:t xml:space="preserve">2*q(n) - n &gt; n/3</w:t>
      </w:r>
    </w:p>
    <w:p>
      <w:pPr>
        <w:pStyle w:val="BodyText"/>
        <w:keepLines/>
        <w:widowControl/>
        <w:spacing w:after="100" w:before="0" w:line="264" w:lineRule="auto"/>
      </w:pPr>
      <w:r>
        <w:t xml:space="preserve">The property has been gate-tested across a broad range of validator-set</w:t>
      </w:r>
      <w:r>
        <w:t xml:space="preserve"> </w:t>
      </w:r>
      <w:r>
        <w:t xml:space="preserve">sizes. The validator-set machinery also enforces a minimum of four</w:t>
      </w:r>
      <w:r>
        <w:t xml:space="preserve"> </w:t>
      </w:r>
      <w:r>
        <w:t xml:space="preserve">validators, giving the smallest configured set the ability to tolerate</w:t>
      </w:r>
      <w:r>
        <w:t xml:space="preserve"> </w:t>
      </w:r>
      <w:r>
        <w:t xml:space="preserve">one Byzantine participant under the quorum model.</w:t>
      </w:r>
    </w:p>
    <w:p>
      <w:pPr>
        <w:pStyle w:val="BodyText"/>
        <w:keepLines/>
        <w:widowControl/>
        <w:spacing w:after="100" w:before="0" w:line="264" w:lineRule="auto"/>
      </w:pPr>
      <w:r>
        <w:t xml:space="preserve">Important scope note: earlier audit evidence established that the</w:t>
      </w:r>
      <w:r>
        <w:t xml:space="preserve"> </w:t>
      </w:r>
      <w:r>
        <w:t xml:space="preserve">consensus quorum counts validators rather than stake weight. Staking</w:t>
      </w:r>
      <w:r>
        <w:t xml:space="preserve"> </w:t>
      </w:r>
      <w:r>
        <w:t xml:space="preserve">economics and consensus voting power must therefore not be conflated</w:t>
      </w:r>
      <w:r>
        <w:t xml:space="preserve"> </w:t>
      </w:r>
      <w:r>
        <w:t xml:space="preserve">unless a future protocol version explicitly changes that rule.</w:t>
      </w:r>
    </w:p>
    <w:p>
      <w:pPr>
        <w:pStyle w:val="BodyText"/>
        <w:keepLines/>
        <w:widowControl/>
        <w:spacing w:after="100" w:before="0" w:line="264" w:lineRule="auto"/>
      </w:pPr>
      <w:r>
        <w:t xml:space="preserve">Sybil-resistance boundary. Because q(n) counts admitted validators</w:t>
      </w:r>
      <w:r>
        <w:t xml:space="preserve"> </w:t>
      </w:r>
      <w:r>
        <w:t xml:space="preserve">rather than stake weight, validator admission is a consensus-security</w:t>
      </w:r>
      <w:r>
        <w:t xml:space="preserve"> </w:t>
      </w:r>
      <w:r>
        <w:t xml:space="preserve">boundary. The 100,000 QNV minimum self-stake is an economic alignment</w:t>
      </w:r>
      <w:r>
        <w:t xml:space="preserve"> </w:t>
      </w:r>
      <w:r>
        <w:t xml:space="preserve">requirement; it is not the mechanism that gives a validator additional</w:t>
      </w:r>
      <w:r>
        <w:t xml:space="preserve"> </w:t>
      </w:r>
      <w:r>
        <w:t xml:space="preserve">consensus weight and it is not, by itself, sufficient Sybil resistance.</w:t>
      </w:r>
      <w:r>
        <w:t xml:space="preserve"> </w:t>
      </w:r>
      <w:r>
        <w:t xml:space="preserve">Qanovra v3.7.5 therefore does not claim permissionless validator</w:t>
      </w:r>
      <w:r>
        <w:t xml:space="preserve"> </w:t>
      </w:r>
      <w:r>
        <w:t xml:space="preserve">admission. P0-06 must remain fail-closed and</w:t>
      </w:r>
      <w:r>
        <w:t xml:space="preserve"> </w:t>
      </w:r>
      <w:r>
        <w:t xml:space="preserve">organizational/administrative independence must be evidenced before an</w:t>
      </w:r>
      <w:r>
        <w:t xml:space="preserve"> </w:t>
      </w:r>
      <w:r>
        <w:t xml:space="preserve">operator enters the active validator set.</w:t>
      </w:r>
    </w:p>
    <w:bookmarkEnd w:id="31"/>
    <w:bookmarkStart w:id="32" w:name="validator-set-and-reconfiguration"/>
    <w:p>
      <w:pPr>
        <w:pStyle w:val="Heading1"/>
        <w:keepNext/>
        <w:keepLines/>
        <w:widowControl/>
        <w:pBdr>
          <w:bottom w:val="single" w:sz="14" w:space="4" w:color="2E6FD8"/>
        </w:pBdr>
      </w:pPr>
      <w:r>
        <w:t xml:space="preserve">12. Validator Set and Reconfiguration</w:t>
      </w:r>
    </w:p>
    <w:p>
      <w:pPr>
        <w:pStyle w:val="FirstParagraph"/>
        <w:keepLines/>
        <w:widowControl/>
        <w:spacing w:after="100" w:before="0" w:line="264" w:lineRule="auto"/>
      </w:pPr>
      <w:r>
        <w:t xml:space="preserve">Validator-set transitions are authenticated state changes. A transition</w:t>
      </w:r>
      <w:r>
        <w:t xml:space="preserve"> </w:t>
      </w:r>
      <w:r>
        <w:t xml:space="preserve">is bound to both the old and new set and requires joint verification.</w:t>
      </w:r>
      <w:r>
        <w:t xml:space="preserve"> </w:t>
      </w:r>
      <w:r>
        <w:t xml:space="preserve">The transition machinery constrains churn and enforces the minimum</w:t>
      </w:r>
      <w:r>
        <w:t xml:space="preserve"> </w:t>
      </w:r>
      <w:r>
        <w:t xml:space="preserve">validator count.</w:t>
      </w:r>
    </w:p>
    <w:p>
      <w:pPr>
        <w:keepLines/>
        <w:widowControl/>
        <w:numPr>
          <w:ilvl w:val="0"/>
          <w:numId w:val="1005"/>
        </w:numPr>
        <w:spacing w:after="100" w:before="0" w:line="264" w:lineRule="auto"/>
      </w:pPr>
      <w:r>
        <w:t xml:space="preserve">Validator identifiers MUST be unique.</w:t>
      </w:r>
    </w:p>
    <w:p>
      <w:pPr>
        <w:keepLines/>
        <w:widowControl/>
        <w:numPr>
          <w:ilvl w:val="0"/>
          <w:numId w:val="1005"/>
        </w:numPr>
        <w:spacing w:after="100" w:before="0" w:line="264" w:lineRule="auto"/>
      </w:pPr>
      <w:r>
        <w:t xml:space="preserve">Transition evidence MUST bind the exact old validator set.</w:t>
      </w:r>
    </w:p>
    <w:p>
      <w:pPr>
        <w:keepLines/>
        <w:widowControl/>
        <w:numPr>
          <w:ilvl w:val="0"/>
          <w:numId w:val="1005"/>
        </w:numPr>
        <w:spacing w:after="100" w:before="0" w:line="264" w:lineRule="auto"/>
      </w:pPr>
      <w:r>
        <w:t xml:space="preserve">Both sides of a transition are verified rather than trusting</w:t>
      </w:r>
      <w:r>
        <w:t xml:space="preserve"> </w:t>
      </w:r>
      <w:r>
        <w:t xml:space="preserve">planning output alone.</w:t>
      </w:r>
    </w:p>
    <w:p>
      <w:pPr>
        <w:keepLines/>
        <w:widowControl/>
        <w:numPr>
          <w:ilvl w:val="0"/>
          <w:numId w:val="1005"/>
        </w:numPr>
        <w:spacing w:after="100" w:before="0" w:line="264" w:lineRule="auto"/>
      </w:pPr>
      <w:r>
        <w:t xml:space="preserve">Runtime consumers of the validator mapping MUST observe</w:t>
      </w:r>
      <w:r>
        <w:t xml:space="preserve"> </w:t>
      </w:r>
      <w:r>
        <w:t xml:space="preserve">reconfiguration consistently; the remediated implementation updates</w:t>
      </w:r>
      <w:r>
        <w:t xml:space="preserve"> </w:t>
      </w:r>
      <w:r>
        <w:t xml:space="preserve">the shared mapping in place.</w:t>
      </w:r>
    </w:p>
    <w:bookmarkEnd w:id="32"/>
    <w:bookmarkStart w:id="33" w:name="proposal-vote-and-finalization-safety"/>
    <w:p>
      <w:pPr>
        <w:pStyle w:val="Heading1"/>
        <w:keepNext/>
        <w:keepLines/>
        <w:pageBreakBefore/>
        <w:widowControl/>
        <w:pBdr>
          <w:bottom w:val="single" w:sz="14" w:space="4" w:color="2E6FD8"/>
        </w:pBdr>
      </w:pPr>
      <w:r>
        <w:t xml:space="preserve">13. Proposal, Vote and Finalization Safety</w:t>
      </w:r>
    </w:p>
    <w:p>
      <w:pPr>
        <w:pStyle w:val="FirstParagraph"/>
        <w:keepLines/>
        <w:widowControl/>
        <w:spacing w:after="100" w:before="0" w:line="264" w:lineRule="auto"/>
      </w:pPr>
      <w:r>
        <w:t xml:space="preserve">A proposal is eligible only if its proposer belongs to the active</w:t>
      </w:r>
      <w:r>
        <w:t xml:space="preserve"> </w:t>
      </w:r>
      <w:r>
        <w:t xml:space="preserve">validator set. Votes that cannot be members of a valid certificate must</w:t>
      </w:r>
      <w:r>
        <w:t xml:space="preserve"> </w:t>
      </w:r>
      <w:r>
        <w:t xml:space="preserve">not be allowed to corrupt finalization. Finalization requires a</w:t>
      </w:r>
      <w:r>
        <w:t xml:space="preserve"> </w:t>
      </w:r>
      <w:r>
        <w:t xml:space="preserve">consistent certificate satisfying q(n).</w:t>
      </w:r>
    </w:p>
    <w:p>
      <w:pPr>
        <w:pStyle w:val="BodyText"/>
        <w:keepLines/>
        <w:widowControl/>
        <w:spacing w:after="100" w:before="0" w:line="264" w:lineRule="auto"/>
      </w:pPr>
      <w:r>
        <w:t xml:space="preserve">Finalizable(B) := ValidProposal(B) AND |ValidVotes(B)| &gt;= q(n)</w:t>
      </w:r>
    </w:p>
    <w:p>
      <w:pPr>
        <w:pStyle w:val="BodyText"/>
        <w:keepLines/>
        <w:widowControl/>
        <w:spacing w:after="100" w:before="0" w:line="264" w:lineRule="auto"/>
      </w:pPr>
      <w:r>
        <w:t>The frozen baseline preserves safety-focused controls and atomic finalization. v2.4 makes no stronger liveness claim than canonical v3.7.5 implementation evidence supports. The paper does not infer a leader schedule or view-change protocol merely from quorum safety. If the canonical implementation cannot make progress under a failed or unavailable proposer in a given state, safety may remain intact while liveness is lost. The exact scheduling/timeout/view-change mechanism, if any, must be named from the frozen implementation in the re-audit evidence package.</w:t>
      </w:r>
      <w:r/>
      <w:r/>
      <w:r/>
      <w:r/>
      <w:r/>
      <w:r/>
      <w:r/>
      <w:r/>
      <w:r/>
      <w:r/>
      <w:r/>
      <w:r/>
      <w:r/>
      <w:r/>
      <w:r/>
      <w:r/>
    </w:p>
    <w:p>
      <w:pPr>
        <w:pStyle w:val="BodyText"/>
        <w:keepLines/>
        <w:widowControl/>
        <w:spacing w:after="100" w:before="0" w:line="264" w:lineRule="auto"/>
      </w:pPr>
      <w:r>
        <w:t xml:space="preserve">Finality/reorg clarification. Multiple competing candidates or orphaned</w:t>
      </w:r>
      <w:r>
        <w:t xml:space="preserve"> </w:t>
      </w:r>
      <w:r>
        <w:t xml:space="preserve">proposals may exist before finalization. Once a height has been</w:t>
      </w:r>
      <w:r>
        <w:t xml:space="preserve"> </w:t>
      </w:r>
      <w:r>
        <w:t xml:space="preserve">finalized, a second block at that height is rejected without state</w:t>
      </w:r>
      <w:r>
        <w:t xml:space="preserve"> </w:t>
      </w:r>
      <w:r>
        <w:t xml:space="preserve">mutation; explorer reorg/orphan awareness therefore refers to</w:t>
      </w:r>
      <w:r>
        <w:t xml:space="preserve"> </w:t>
      </w:r>
      <w:r>
        <w:t xml:space="preserve">pre-finalization/canonical-selection observations, not a claim that</w:t>
      </w:r>
      <w:r>
        <w:t xml:space="preserve"> </w:t>
      </w:r>
      <w:r>
        <w:t xml:space="preserve">finalized heights routinely reorganize.</w:t>
      </w:r>
    </w:p>
    <w:bookmarkEnd w:id="33"/>
    <w:bookmarkStart w:id="34" w:name="fees-and-protocol-accounting"/>
    <w:p>
      <w:pPr>
        <w:pStyle w:val="Heading1"/>
        <w:keepNext/>
        <w:keepLines/>
        <w:widowControl/>
        <w:pBdr>
          <w:bottom w:val="single" w:sz="14" w:space="4" w:color="2E6FD8"/>
        </w:pBdr>
      </w:pPr>
      <w:r>
        <w:t xml:space="preserve">14. Fees and Protocol Accounting</w:t>
      </w:r>
    </w:p>
    <w:p>
      <w:pPr>
        <w:pStyle w:val="FirstParagraph"/>
        <w:keepLines/>
        <w:widowControl/>
        <w:spacing w:after="100" w:before="0" w:line="264" w:lineRule="auto"/>
      </w:pPr>
      <w:r>
        <w:t xml:space="preserve">Fees are state-accounted amounts denominated in qnv-atom. Fee handling</w:t>
      </w:r>
      <w:r>
        <w:t xml:space="preserve"> </w:t>
      </w:r>
      <w:r>
        <w:t xml:space="preserve">MUST preserve supply and MUST NOT use an unauthenticated or arbitrary</w:t>
      </w:r>
      <w:r>
        <w:t xml:space="preserve"> </w:t>
      </w:r>
      <w:r>
        <w:t xml:space="preserve">destination. Protocol fee pools live in the reserved system namespace.</w:t>
      </w:r>
    </w:p>
    <w:p>
      <w:pPr>
        <w:pStyle w:val="BodyText"/>
        <w:keepLines/>
        <w:widowControl/>
        <w:spacing w:after="100" w:before="0" w:line="264" w:lineRule="auto"/>
      </w:pPr>
      <w:r>
        <w:t xml:space="preserve">debit(sender) = transfer_amount + fee</w:t>
      </w:r>
    </w:p>
    <w:p>
      <w:pPr>
        <w:pStyle w:val="BodyText"/>
        <w:keepLines/>
        <w:widowControl/>
        <w:spacing w:after="100" w:before="0" w:line="264" w:lineRule="auto"/>
      </w:pPr>
      <w:r>
        <w:t xml:space="preserve">credit(recipient) = transfer_amount</w:t>
      </w:r>
    </w:p>
    <w:p>
      <w:pPr>
        <w:pStyle w:val="BodyText"/>
        <w:keepLines/>
        <w:widowControl/>
        <w:spacing w:after="100" w:before="0" w:line="264" w:lineRule="auto"/>
      </w:pPr>
      <w:r>
        <w:t xml:space="preserve">credit(protocol_fee_destination) = fee # unless a defined burn rule</w:t>
      </w:r>
      <w:r>
        <w:t xml:space="preserve"> </w:t>
      </w:r>
      <w:r>
        <w:t xml:space="preserve">applies</w:t>
      </w:r>
    </w:p>
    <w:p>
      <w:pPr>
        <w:pStyle w:val="BodyText"/>
        <w:keepLines/>
        <w:widowControl/>
        <w:spacing w:after="100" w:before="0" w:line="264" w:lineRule="auto"/>
      </w:pPr>
      <w:r>
        <w:t xml:space="preserve">All amount-bearing signed tokenomics messages are recursively bounded</w:t>
      </w:r>
      <w:r>
        <w:t xml:space="preserve"> </w:t>
      </w:r>
      <w:r>
        <w:t xml:space="preserve">before canonical serialization. Public tokenomics methods independently</w:t>
      </w:r>
      <w:r>
        <w:t xml:space="preserve"> </w:t>
      </w:r>
      <w:r>
        <w:t xml:space="preserve">apply amount bounds, preventing oversized values from escaping as</w:t>
      </w:r>
      <w:r>
        <w:t xml:space="preserve"> </w:t>
      </w:r>
      <w:r>
        <w:t xml:space="preserve">generic canonicalization errors.</w:t>
      </w:r>
    </w:p>
    <w:p>
      <w:pPr>
        <w:pStyle w:val="BodyText"/>
        <w:keepLines/>
        <w:widowControl/>
        <w:spacing w:after="100" w:before="0" w:line="264" w:lineRule="auto"/>
      </w:pPr>
      <w:r>
        <w:t>For v2.4 launch economics, protocol fee revenue assigned to network security is a funded reward source and is consumed before any authorized subsidy draw from the Community &amp; network security allocation. This does not create QNV and does not relax the supply invariant. The exact fee-assessment function, minimum fee and any operator commission bounds are not recovered from the canonical L1 evidence currently attached to this document; they remain CANONICAL_EXTRACTION_REQUIRED and are not invented here.</w:t>
      </w:r>
      <w:r/>
      <w:r/>
      <w:r/>
      <w:r/>
      <w:r/>
      <w:r/>
      <w:r/>
      <w:r/>
      <w:r/>
      <w:r/>
      <w:r/>
      <w:r/>
      <w:r/>
      <w:r/>
    </w:p>
    <w:bookmarkEnd w:id="34"/>
    <w:bookmarkStart w:id="35" w:name="qnv-monetary-units"/>
    <w:p>
      <w:pPr>
        <w:pStyle w:val="Heading1"/>
        <w:keepNext/>
        <w:keepLines/>
        <w:pageBreakBefore/>
        <w:widowControl/>
        <w:pBdr>
          <w:bottom w:val="single" w:sz="14" w:space="4" w:color="2E6FD8"/>
        </w:pBdr>
      </w:pPr>
      <w:r>
        <w:t xml:space="preserve">15. QNV Monetary Units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Parameter</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Normative 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Ticker</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qnv-atom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Decimals</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 units per QNV</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 QNV</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10,000,000,000</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Max qnv-atom</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1,000,000,000,000,000</w:t>
            </w:r>
          </w:p>
        </w:tc>
      </w:tr>
    </w:tbl>
    <w:p>
      <w:pPr>
        <w:pStyle w:val="BodyText"/>
        <w:keepLines/>
        <w:widowControl/>
        <w:spacing w:after="100" w:before="0" w:line="264" w:lineRule="auto"/>
      </w:pPr>
      <w:r>
        <w:t xml:space="preserve">QNV(x_atoms) = x_atoms / 100000</w:t>
      </w:r>
    </w:p>
    <w:p>
      <w:pPr>
        <w:pStyle w:val="BodyText"/>
        <w:keepLines/>
        <w:widowControl/>
        <w:spacing w:after="100" w:before="0" w:line="264" w:lineRule="auto"/>
      </w:pPr>
      <w:r>
        <w:t xml:space="preserve">atoms(x_QNV) = x_QNV * 100000</w:t>
      </w:r>
    </w:p>
    <w:p>
      <w:pPr>
        <w:pStyle w:val="BodyText"/>
        <w:keepLines/>
        <w:widowControl/>
        <w:spacing w:after="100" w:before="0" w:line="264" w:lineRule="auto"/>
      </w:pPr>
      <w:r>
        <w:t xml:space="preserve">Consensus and ledger calculations SHOULD use integer qnv-atom values.</w:t>
      </w:r>
      <w:r>
        <w:t xml:space="preserve"> </w:t>
      </w:r>
      <w:r>
        <w:t xml:space="preserve">Human-facing decimal formatting is a presentation concern and MUST NOT</w:t>
      </w:r>
      <w:r>
        <w:t xml:space="preserve"> </w:t>
      </w:r>
      <w:r>
        <w:t xml:space="preserve">introduce floating-point ambiguity into signed or state-rooted values.</w:t>
      </w:r>
    </w:p>
    <w:bookmarkEnd w:id="35"/>
    <w:bookmarkStart w:id="36" w:name="genesis-allocation-and-vault-policy"/>
    <w:p>
      <w:pPr>
        <w:pStyle w:val="Heading1"/>
        <w:keepNext/>
        <w:keepLines/>
        <w:pageBreakBefore/>
        <w:widowControl/>
        <w:pBdr>
          <w:bottom w:val="single" w:sz="14" w:space="4" w:color="2E6FD8"/>
        </w:pBdr>
      </w:pPr>
      <w:r>
        <w:t xml:space="preserve">16. Genesis Allocation and Vault Policy</w:t>
      </w:r>
    </w:p>
    <w:p>
      <w:pPr>
        <w:pStyle w:val="FirstParagraph"/>
        <w:keepLines/>
        <w:widowControl/>
        <w:spacing w:after="100" w:before="0" w:line="264" w:lineRule="auto"/>
      </w:pPr>
      <w:r>
        <w:t xml:space="preserve">Genesis allocates the complete supply into policy-controlled</w:t>
      </w:r>
      <w:r>
        <w:t xml:space="preserve"> </w:t>
      </w:r>
      <w:r>
        <w:t xml:space="preserve">destinations. The exact genesis file is authoritative. The public</w:t>
      </w:r>
      <w:r>
        <w:t xml:space="preserve"> </w:t>
      </w:r>
      <w:r>
        <w:t xml:space="preserve">allocation summary currently records: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568"/>
        <w:gridCol w:w="2568"/>
        <w:gridCol w:w="2568"/>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Allocation</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Share</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QNV</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Community &amp; network</w:t>
            </w:r>
            <w:r>
              <w:rPr>
                <w:rFonts w:ascii="Arial" w:hAnsi="Arial"/>
                <w:color w:val="1B222C"/>
                <w:sz w:val="18"/>
              </w:rPr>
              <w:t xml:space="preserve"> </w:t>
            </w:r>
            <w:r>
              <w:rPr>
                <w:rFonts w:ascii="Arial" w:hAnsi="Arial"/>
                <w:color w:val="1B222C"/>
                <w:sz w:val="18"/>
              </w:rPr>
              <w:t xml:space="preserve">security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51.75%</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5,175,000,000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Ambassador program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0.25%</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25,000,000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Treasury &amp; ecosystem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Founder</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1,500,000,000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Core team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8.00%</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800,000,000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Remaining canonical</w:t>
            </w:r>
            <w:r>
              <w:rPr>
                <w:rFonts w:ascii="Arial" w:hAnsi="Arial"/>
                <w:color w:val="1B222C"/>
                <w:sz w:val="18"/>
              </w:rPr>
              <w:t xml:space="preserve"> </w:t>
            </w:r>
            <w:r>
              <w:rPr>
                <w:rFonts w:ascii="Arial" w:hAnsi="Arial"/>
                <w:color w:val="1B222C"/>
                <w:sz w:val="18"/>
              </w:rPr>
              <w:t xml:space="preserve">allocations</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1,000,000,000</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Total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10,000,000,000</w:t>
            </w:r>
          </w:p>
        </w:tc>
      </w:tr>
    </w:tbl>
    <w:p>
      <w:pPr>
        <w:pStyle w:val="BodyText"/>
        <w:keepLines/>
        <w:widowControl/>
        <w:spacing w:after="100" w:before="0" w:line="264" w:lineRule="auto"/>
      </w:pPr>
      <w:r>
        <w:t xml:space="preserve">The 10% remainder is intentionally not renamed here without the</w:t>
      </w:r>
      <w:r>
        <w:t xml:space="preserve"> </w:t>
      </w:r>
      <w:r>
        <w:t xml:space="preserve">canonical genesis allocation schedule. A Yellow Paper must not</w:t>
      </w:r>
      <w:r>
        <w:t xml:space="preserve"> </w:t>
      </w:r>
      <w:r>
        <w:t xml:space="preserve">manufacture an allocation label.</w:t>
      </w:r>
    </w:p>
    <w:p>
      <w:pPr>
        <w:pStyle w:val="BodyText"/>
        <w:keepLines/>
        <w:widowControl/>
        <w:spacing w:after="100" w:before="0" w:line="264" w:lineRule="auto"/>
      </w:pPr>
      <w:r>
        <w:t xml:space="preserve">Allocation release policy introduced by v2.3: the Founder allocation of</w:t>
      </w:r>
      <w:r>
        <w:t xml:space="preserve"> </w:t>
      </w:r>
      <w:r>
        <w:t xml:space="preserve">15% is available from Genesis by design and has no protocol-enforced</w:t>
      </w:r>
      <w:r>
        <w:t xml:space="preserve"> </w:t>
      </w:r>
      <w:r>
        <w:t xml:space="preserve">vesting/lockup claim. This is explicitly disclosed as</w:t>
      </w:r>
      <w:r>
        <w:t xml:space="preserve"> </w:t>
      </w:r>
      <w:r>
        <w:t xml:space="preserve">liquidity/concentration risk. Individual Core Team grants from the 8%</w:t>
      </w:r>
      <w:r>
        <w:t xml:space="preserve"> </w:t>
      </w:r>
      <w:r>
        <w:t xml:space="preserve">allocation are subject to a 48-month vesting schedule from grant date,</w:t>
      </w:r>
      <w:r>
        <w:t xml:space="preserve"> </w:t>
      </w:r>
      <w:r>
        <w:t xml:space="preserve">with a 12-month cliff and monthly linear vesting over the remaining 36</w:t>
      </w:r>
      <w:r>
        <w:t xml:space="preserve"> </w:t>
      </w:r>
      <w:r>
        <w:t xml:space="preserve">months; ungranted balances remain in the designated allocation vault.</w:t>
      </w:r>
      <w:r>
        <w:t xml:space="preserve"> </w:t>
      </w:r>
      <w:r>
        <w:t xml:space="preserve">The Core Team schedule is a launch-policy requirement and MUST NOT be</w:t>
      </w:r>
      <w:r>
        <w:t xml:space="preserve"> </w:t>
      </w:r>
      <w:r>
        <w:t xml:space="preserve">represented as enforced until canonical vault/configuration evidence and</w:t>
      </w:r>
      <w:r>
        <w:t xml:space="preserve"> </w:t>
      </w:r>
      <w:r>
        <w:t xml:space="preserve">tests demonstrate the release path.</w:t>
      </w:r>
    </w:p>
    <w:bookmarkEnd w:id="36"/>
    <w:bookmarkStart w:id="37" w:name="treasury-authorization"/>
    <w:p>
      <w:pPr>
        <w:pStyle w:val="Heading1"/>
        <w:keepNext/>
        <w:keepLines/>
        <w:widowControl/>
        <w:pBdr>
          <w:bottom w:val="single" w:sz="14" w:space="4" w:color="2E6FD8"/>
        </w:pBdr>
      </w:pPr>
      <w:r>
        <w:t xml:space="preserve">17. Treasury Authorization</w:t>
      </w:r>
    </w:p>
    <w:p>
      <w:pPr>
        <w:pStyle w:val="FirstParagraph"/>
        <w:keepLines/>
        <w:widowControl/>
        <w:spacing w:after="100" w:before="0" w:line="264" w:lineRule="auto"/>
      </w:pPr>
      <w:r>
        <w:t xml:space="preserve">Treasury control is a protocol policy over AccountState. The legacy</w:t>
      </w:r>
      <w:r>
        <w:t xml:space="preserve"> </w:t>
      </w:r>
      <w:r>
        <w:t xml:space="preserve">zero-threshold treasury runtime was removed. The active treasury policy</w:t>
      </w:r>
      <w:r>
        <w:t xml:space="preserve"> </w:t>
      </w:r>
      <w:r>
        <w:t xml:space="preserve">requires exactly four approvals from seven configured keys and applies a</w:t>
      </w:r>
      <w:r>
        <w:t xml:space="preserve"> </w:t>
      </w:r>
      <w:r>
        <w:t xml:space="preserve">timelock.</w:t>
      </w:r>
    </w:p>
    <w:p>
      <w:pPr>
        <w:pStyle w:val="BodyText"/>
        <w:keepLines/>
        <w:widowControl/>
        <w:spacing w:after="100" w:before="0" w:line="264" w:lineRule="auto"/>
      </w:pPr>
      <w:r>
        <w:t xml:space="preserve">TreasuryThreshold = 4</w:t>
      </w:r>
    </w:p>
    <w:p>
      <w:pPr>
        <w:pStyle w:val="BodyText"/>
        <w:keepLines/>
        <w:widowControl/>
        <w:spacing w:after="100" w:before="0" w:line="264" w:lineRule="auto"/>
      </w:pPr>
      <w:r>
        <w:t xml:space="preserve">TreasuryKeyCount = 7</w:t>
      </w:r>
    </w:p>
    <w:p>
      <w:pPr>
        <w:pStyle w:val="BodyText"/>
        <w:keepLines/>
        <w:widowControl/>
        <w:spacing w:after="100" w:before="0" w:line="264" w:lineRule="auto"/>
      </w:pPr>
      <w:r>
        <w:t xml:space="preserve">Annual treasury caps are tracked as state rather than trusted from</w:t>
      </w:r>
      <w:r>
        <w:t xml:space="preserve"> </w:t>
      </w:r>
      <w:r>
        <w:t xml:space="preserve">caller-provided values. Proposed spends reserve annual capacity so</w:t>
      </w:r>
      <w:r>
        <w:t xml:space="preserve"> </w:t>
      </w:r>
      <w:r>
        <w:t xml:space="preserve">multiple pending proposals cannot collectively bypass the cap.</w:t>
      </w:r>
    </w:p>
    <w:p>
      <w:pPr>
        <w:pStyle w:val="BodyText"/>
        <w:keepLines/>
        <w:widowControl/>
        <w:spacing w:after="100" w:before="0" w:line="264" w:lineRule="auto"/>
      </w:pPr>
      <w:r>
        <w:t>The exact timelock duration and annual-cap value are security-relevant canonical parameters. They were not recovered from the evidence available to this document and therefore remain CANONICAL_EXTRACTION_REQUIRED. Before final publication/re-audit, both values must be cited from the exact genesis/policy artifact and added to the evidence-to-claim matrix; no numeric value is guessed in v2.4.</w:t>
      </w:r>
      <w:r/>
      <w:r/>
      <w:r/>
      <w:r/>
      <w:r/>
      <w:r/>
      <w:r/>
      <w:r/>
      <w:r/>
      <w:r/>
    </w:p>
    <w:bookmarkEnd w:id="37"/>
    <w:bookmarkStart w:id="38" w:name="staking-model"/>
    <w:p>
      <w:pPr>
        <w:pStyle w:val="Heading1"/>
        <w:keepNext/>
        <w:keepLines/>
        <w:pageBreakBefore/>
        <w:widowControl/>
        <w:pBdr>
          <w:bottom w:val="single" w:sz="14" w:space="4" w:color="2E6FD8"/>
        </w:pBdr>
      </w:pPr>
      <w:r>
        <w:t xml:space="preserve">18. Staking Model</w:t>
      </w:r>
    </w:p>
    <w:p>
      <w:pPr>
        <w:pStyle w:val="FirstParagraph"/>
        <w:keepLines/>
        <w:widowControl/>
        <w:spacing w:after="100" w:before="0" w:line="264" w:lineRule="auto"/>
      </w:pPr>
      <w:r>
        <w:t>The economic policy associated with Qanovra specifies a minimum delegation of 100 QNV, a minimum validator self-stake of 100,000 QNV, and a target staking ratio of 55-70%. v2.4 defines the target gross reward corridor as a funded, non-inflationary launch policy rather than an unconditional yield promise.</w:t>
      </w:r>
    </w:p>
    <w:p>
      <w:pPr>
        <w:pStyle w:val="BodyText"/>
        <w:keepLines/>
        <w:widowControl/>
        <w:spacing w:after="100" w:before="0" w:line="264" w:lineRule="auto"/>
      </w:pPr>
      <w:r>
        <w:t xml:space="preserve">These policy targets do not imply that consensus voting is</w:t>
      </w:r>
      <w:r>
        <w:t xml:space="preserve"> </w:t>
      </w:r>
      <w:r>
        <w:t xml:space="preserve">stake-weighted. The frozen consensus rule is described in Section 11.</w:t>
      </w:r>
      <w:r>
        <w:t xml:space="preserve"> </w:t>
      </w:r>
      <w:r>
        <w:t xml:space="preserve">Stake is economically relevant through escrow, rewards and slashing</w:t>
      </w:r>
      <w:r>
        <w:t xml:space="preserve"> </w:t>
      </w:r>
      <w:r>
        <w:t xml:space="preserve">policy.</w:t>
      </w:r>
    </w:p>
    <w:p>
      <w:pPr>
        <w:pStyle w:val="BodyText"/>
        <w:keepLines/>
        <w:widowControl/>
        <w:spacing w:after="100" w:before="0" w:line="264" w:lineRule="auto"/>
      </w:pPr>
      <w:r>
        <w:t xml:space="preserve">staked_total = staking_escrow_balance</w:t>
      </w:r>
    </w:p>
    <w:p>
      <w:pPr>
        <w:pStyle w:val="BodyText"/>
        <w:keepLines/>
        <w:widowControl/>
        <w:spacing w:after="100" w:before="0" w:line="264" w:lineRule="auto"/>
      </w:pPr>
      <w:r>
        <w:t xml:space="preserve">The exact unbonding duration is intentionally not guessed in this</w:t>
      </w:r>
      <w:r>
        <w:t xml:space="preserve"> </w:t>
      </w:r>
      <w:r>
        <w:t xml:space="preserve">document; the canonical protocol configuration remains authoritative for</w:t>
      </w:r>
      <w:r>
        <w:t xml:space="preserve"> </w:t>
      </w:r>
      <w:r>
        <w:t xml:space="preserve">that parameter.</w:t>
      </w:r>
    </w:p>
    <w:p>
      <w:pPr>
        <w:pStyle w:val="BodyText"/>
        <w:keepLines/>
        <w:widowControl/>
        <w:spacing w:after="100" w:before="0" w:line="264" w:lineRule="auto"/>
      </w:pPr>
      <w:r>
        <w:t xml:space="preserve">Rewards MUST be paid only from already-funded AccountState balances.</w:t>
      </w:r>
      <w:r>
        <w:t xml:space="preserve"> </w:t>
      </w:r>
      <w:r>
        <w:t xml:space="preserve">Protocol fee revenue assigned to network security is used first; an</w:t>
      </w:r>
      <w:r>
        <w:t xml:space="preserve"> </w:t>
      </w:r>
      <w:r>
        <w:t xml:space="preserve">explicitly authorized draw from the Community &amp; network security</w:t>
      </w:r>
      <w:r>
        <w:t xml:space="preserve"> </w:t>
      </w:r>
      <w:r>
        <w:t xml:space="preserve">allocation may cover a funded shortfall. If funded balances are</w:t>
      </w:r>
      <w:r>
        <w:t xml:space="preserve"> </w:t>
      </w:r>
      <w:r>
        <w:t xml:space="preserve">insufficient, the effective reward rate decreases. No reward path may</w:t>
      </w:r>
      <w:r>
        <w:t xml:space="preserve"> </w:t>
      </w:r>
      <w:r>
        <w:t xml:space="preserve">mint QNV beyond the fixed 10,000,000,000 maximum supply.</w:t>
      </w:r>
    </w:p>
    <w:p>
      <w:pPr>
        <w:pStyle w:val="BodyText"/>
        <w:keepLines/>
        <w:widowControl/>
        <w:spacing w:after="100" w:before="0" w:line="264" w:lineRule="auto"/>
      </w:pPr>
      <w:r>
        <w:t>Let s be the staking-participation ratio used by the launch reward policy. The v2.4 target gross rate is:</w:t>
      </w:r>
    </w:p>
    <w:p>
      <w:pPr>
        <w:pStyle w:val="BodyText"/>
        <w:keepLines/>
        <w:widowControl/>
        <w:spacing w:after="100" w:before="0" w:line="264" w:lineRule="auto"/>
      </w:pPr>
      <w:r>
        <w:t xml:space="preserve">r_target(s) = 0.10, s &lt;= 0.55</w:t>
      </w:r>
    </w:p>
    <w:p>
      <w:pPr>
        <w:pStyle w:val="BodyText"/>
        <w:keepLines/>
        <w:widowControl/>
        <w:spacing w:after="100" w:before="0" w:line="264" w:lineRule="auto"/>
      </w:pPr>
      <w:r>
        <w:t xml:space="preserve">r_target(s) = 0.10 - (0.04/0.15)*(s-0.55), 0.55 &lt; s &lt; 0.70</w:t>
      </w:r>
    </w:p>
    <w:p>
      <w:pPr>
        <w:pStyle w:val="BodyText"/>
        <w:keepLines/>
        <w:widowControl/>
        <w:spacing w:after="100" w:before="0" w:line="264" w:lineRule="auto"/>
      </w:pPr>
      <w:r>
        <w:t xml:space="preserve">r_target(s) = 0.06, s &gt;= 0.70</w:t>
      </w:r>
    </w:p>
    <w:p>
      <w:pPr>
        <w:pStyle w:val="BodyText"/>
        <w:keepLines/>
        <w:widowControl/>
        <w:spacing w:after="100" w:before="0" w:line="264" w:lineRule="auto"/>
      </w:pPr>
      <w:r>
        <w:t>Thus r_target(0.625) = 0.08. The effective paid rate is bounded by funded reward capacity and may be lower. If the 5,175,000,000 QNV Community &amp; network security allocation were hypothetically used only for the policy-defined subsidy corridor, the indicative reserve life would be approximately 9.41 years at 55% staking, approximately 10.35 years at 62.5% staking, and approximately 12.32 years at 70% staking. These values follow the declared r_target(s) function rather than a flat-8% assumption. They are not reserve-life guarantees because the allocation has broader purposes and fee revenue can reduce reserve draw.</w:t>
      </w:r>
    </w:p>
    <w:p>
      <w:pPr>
        <w:pStyle w:val="BodyText"/>
        <w:keepLines/>
        <w:widowControl/>
        <w:spacing w:after="100" w:before="0" w:line="264" w:lineRule="auto"/>
      </w:pPr>
      <w:r>
        <w:t xml:space="preserve">The exact unbonding duration remains CANONICAL_EXTRACTION_REQUIRED and</w:t>
      </w:r>
      <w:r>
        <w:t xml:space="preserve"> </w:t>
      </w:r>
      <w:r>
        <w:t xml:space="preserve">must be cited from the canonical launch configuration before final</w:t>
      </w:r>
      <w:r>
        <w:t xml:space="preserve"> </w:t>
      </w:r>
      <w:r>
        <w:t xml:space="preserve">publication. Gross APR is before any operator commission; validator</w:t>
      </w:r>
      <w:r>
        <w:t xml:space="preserve"> </w:t>
      </w:r>
      <w:r>
        <w:t xml:space="preserve">commission is an operator-disclosed commercial parameter and is not</w:t>
      </w:r>
      <w:r>
        <w:t xml:space="preserve"> </w:t>
      </w:r>
      <w:r>
        <w:t xml:space="preserve">consensus voting weight.</w:t>
      </w:r>
    </w:p>
    <w:bookmarkEnd w:id="38"/>
    <w:bookmarkStart w:id="39" w:name="slashing-semantics"/>
    <w:p>
      <w:pPr>
        <w:pStyle w:val="Heading1"/>
        <w:keepNext/>
        <w:keepLines/>
        <w:pageBreakBefore/>
        <w:widowControl/>
        <w:pBdr>
          <w:bottom w:val="single" w:sz="14" w:space="4" w:color="2E6FD8"/>
        </w:pBdr>
      </w:pPr>
      <w:r>
        <w:t xml:space="preserve">19. Slashing Semantics</w:t>
      </w:r>
    </w:p>
    <w:p>
      <w:pPr>
        <w:pStyle w:val="FirstParagraph"/>
        <w:keepLines/>
        <w:widowControl/>
        <w:spacing w:after="100" w:before="0" w:line="264" w:lineRule="auto"/>
      </w:pPr>
      <w:r>
        <w:t>Slashing distinguishes routine availability degradation from malicious or consensus-threatening behavior. For correlation tiers, c = involved_active_validators / active_validator_count; stake weight is not the unit. The slash principal base under the v2.4 publication-candidate policy is the offending validator's total bonded stake economically attributable to that validator at slash evaluation time, including validator self-stake and all active delegated stake assigned to that validator. The effective principal slash is effective_slash = max(base_slash, correlated_slash(c)); percentages are not additive or multiplicative. A temporary jail lasts at least one complete 10,000-block observation window. This duration is normative in blocks; a real-time equivalent is intentionally not published here until canonical block-cadence extraction is complete. Unjail requires expiry of the window, a signed operator request, a non-tombstoned validator key and successful current eligibility/health checks. A tombstoned key can never be unjailed.</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Condition</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Policy consequence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Normal/proportionate downtime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 slash; reduced/lost rewards</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&lt;95% expected signatures over</w:t>
            </w:r>
            <w:r>
              <w:rPr>
                <w:rFonts w:ascii="Arial" w:hAnsi="Arial"/>
                <w:color w:val="1B222C"/>
                <w:sz w:val="18"/>
              </w:rPr>
              <w:t xml:space="preserve"> </w:t>
            </w:r>
            <w:r>
              <w:rPr>
                <w:rFonts w:ascii="Arial" w:hAnsi="Arial"/>
                <w:color w:val="1B222C"/>
                <w:sz w:val="18"/>
              </w:rPr>
              <w:t xml:space="preserve">rolling 10,000 blocks</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0.10% slash + temporary jail</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Repeat downtime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0.25% slash + temporary jail</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Chronic downtime</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up to 0.50% slash + temporary jail</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Double-sign / equivocation</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 base slash + permanent tombstone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Byzantine / consensus-threatening</w:t>
            </w:r>
            <w:r>
              <w:rPr>
                <w:rFonts w:ascii="Arial" w:hAnsi="Arial"/>
                <w:color w:val="1B222C"/>
                <w:sz w:val="18"/>
              </w:rPr>
              <w:t xml:space="preserve"> </w:t>
            </w:r>
            <w:r>
              <w:rPr>
                <w:rFonts w:ascii="Arial" w:hAnsi="Arial"/>
                <w:color w:val="1B222C"/>
                <w:sz w:val="18"/>
              </w:rPr>
              <w:t xml:space="preserve">behavior</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minimum 5% base slash</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&lt;1% of active validator</w:t>
            </w:r>
            <w:r>
              <w:rPr>
                <w:rFonts w:ascii="Arial" w:hAnsi="Arial"/>
                <w:color w:val="1B222C"/>
                <w:sz w:val="18"/>
              </w:rPr>
              <w:t xml:space="preserve"> </w:t>
            </w:r>
            <w:r>
              <w:rPr>
                <w:rFonts w:ascii="Arial" w:hAnsi="Arial"/>
                <w:color w:val="1B222C"/>
                <w:sz w:val="18"/>
              </w:rPr>
              <w:t xml:space="preserve">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1% to &lt;5% of active</w:t>
            </w:r>
            <w:r>
              <w:rPr>
                <w:rFonts w:ascii="Arial" w:hAnsi="Arial"/>
                <w:color w:val="1B222C"/>
                <w:sz w:val="18"/>
              </w:rPr>
              <w:t xml:space="preserve"> </w:t>
            </w:r>
            <w:r>
              <w:rPr>
                <w:rFonts w:ascii="Arial" w:hAnsi="Arial"/>
                <w:color w:val="1B222C"/>
                <w:sz w:val="18"/>
              </w:rPr>
              <w:t xml:space="preserve">validator count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5% to &lt;10% of active</w:t>
            </w:r>
            <w:r>
              <w:rPr>
                <w:rFonts w:ascii="Arial" w:hAnsi="Arial"/>
                <w:color w:val="1B222C"/>
                <w:sz w:val="18"/>
              </w:rPr>
              <w:t xml:space="preserve"> </w:t>
            </w:r>
            <w:r>
              <w:rPr>
                <w:rFonts w:ascii="Arial" w:hAnsi="Arial"/>
                <w:color w:val="1B222C"/>
                <w:sz w:val="18"/>
              </w:rPr>
              <w:t xml:space="preserve">validator 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20%</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10% to &lt;20% of active</w:t>
            </w:r>
            <w:r>
              <w:rPr>
                <w:rFonts w:ascii="Arial" w:hAnsi="Arial"/>
                <w:color w:val="1B222C"/>
                <w:sz w:val="18"/>
              </w:rPr>
              <w:t xml:space="preserve"> </w:t>
            </w:r>
            <w:r>
              <w:rPr>
                <w:rFonts w:ascii="Arial" w:hAnsi="Arial"/>
                <w:color w:val="1B222C"/>
                <w:sz w:val="18"/>
              </w:rPr>
              <w:t xml:space="preserve">validator count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50%</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Correlated 20% to &lt;1/3 of active</w:t>
            </w:r>
            <w:r>
              <w:rPr>
                <w:rFonts w:ascii="Arial" w:hAnsi="Arial"/>
                <w:color w:val="1B222C"/>
                <w:sz w:val="18"/>
              </w:rPr>
              <w:t xml:space="preserve"> </w:t>
            </w:r>
            <w:r>
              <w:rPr>
                <w:rFonts w:ascii="Arial" w:hAnsi="Arial"/>
                <w:color w:val="1B222C"/>
                <w:sz w:val="18"/>
              </w:rPr>
              <w:t xml:space="preserve">validator count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75%</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Systemic &gt;=1/3 of active validator</w:t>
            </w:r>
            <w:r>
              <w:rPr>
                <w:rFonts w:ascii="Arial" w:hAnsi="Arial"/>
                <w:color w:val="1B222C"/>
                <w:sz w:val="18"/>
              </w:rPr>
              <w:t xml:space="preserve"> </w:t>
            </w:r>
            <w:r>
              <w:rPr>
                <w:rFonts w:ascii="Arial" w:hAnsi="Arial"/>
                <w:color w:val="1B222C"/>
                <w:sz w:val="18"/>
              </w:rPr>
              <w:t xml:space="preserve">count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100%</w:t>
            </w:r>
          </w:p>
        </w:tc>
      </w:tr>
    </w:tbl>
    <w:p>
      <w:pPr>
        <w:pStyle w:val="BodyText"/>
        <w:keepLines/>
        <w:widowControl/>
        <w:spacing w:after="100" w:before="0" w:line="264" w:lineRule="auto"/>
      </w:pPr>
      <w:r>
        <w:t>Slash principal is defined as burn in the v2.4 launch policy and MUST be reflected in burned_supply so total-supply accounting remains exact. No alternative non-burn slash destination is claimed. Because delegated stake is part of the slash-principal base, delegators bear proportional validator-misconduct risk. These completed policy semantics require implementation/conformance evidence before network activation.</w:t>
      </w:r>
    </w:p>
    <w:bookmarkEnd w:id="39"/>
    <w:bookmarkStart w:id="40" w:name="privileged-application-authorization"/>
    <w:p>
      <w:pPr>
        <w:pStyle w:val="Heading1"/>
        <w:keepNext/>
        <w:keepLines/>
        <w:widowControl/>
        <w:pBdr>
          <w:bottom w:val="single" w:sz="14" w:space="4" w:color="2E6FD8"/>
        </w:pBdr>
      </w:pPr>
      <w:r>
        <w:t xml:space="preserve">20. Privileged Application Authorization</w:t>
      </w:r>
    </w:p>
    <w:p>
      <w:pPr>
        <w:pStyle w:val="FirstParagraph"/>
        <w:keepLines/>
        <w:widowControl/>
        <w:spacing w:after="100" w:before="0" w:line="264" w:lineRule="auto"/>
      </w:pPr>
      <w:r>
        <w:t xml:space="preserve">State-mutating privileged modules are subject to explicit authorization</w:t>
      </w:r>
      <w:r>
        <w:t xml:space="preserve"> </w:t>
      </w:r>
      <w:r>
        <w:t xml:space="preserve">semantics. Authorization is verified before replay consumption and</w:t>
      </w:r>
      <w:r>
        <w:t xml:space="preserve"> </w:t>
      </w:r>
      <w:r>
        <w:t xml:space="preserve">before mutation. Signed messages use domain-separated canonical</w:t>
      </w:r>
      <w:r>
        <w:t xml:space="preserve"> </w:t>
      </w:r>
      <w:r>
        <w:t xml:space="preserve">payloads.</w:t>
      </w:r>
    </w:p>
    <w:p>
      <w:pPr>
        <w:keepLines/>
        <w:widowControl/>
        <w:numPr>
          <w:ilvl w:val="0"/>
          <w:numId w:val="1006"/>
        </w:numPr>
        <w:spacing w:after="100" w:before="0" w:line="264" w:lineRule="auto"/>
      </w:pPr>
      <w:r>
        <w:t xml:space="preserve">Invalid signatures MUST NOT consume a valid nonce.</w:t>
      </w:r>
    </w:p>
    <w:p>
      <w:pPr>
        <w:keepLines/>
        <w:widowControl/>
        <w:numPr>
          <w:ilvl w:val="0"/>
          <w:numId w:val="1006"/>
        </w:numPr>
        <w:spacing w:after="100" w:before="0" w:line="264" w:lineRule="auto"/>
      </w:pPr>
      <w:r>
        <w:t xml:space="preserve">Replay windows are subject-scoped and bounded.</w:t>
      </w:r>
    </w:p>
    <w:p>
      <w:pPr>
        <w:keepLines/>
        <w:widowControl/>
        <w:numPr>
          <w:ilvl w:val="0"/>
          <w:numId w:val="1006"/>
        </w:numPr>
        <w:spacing w:after="100" w:before="0" w:line="264" w:lineRule="auto"/>
      </w:pPr>
      <w:r>
        <w:t xml:space="preserve">Amount-bearing privileged messages MUST pass amount-bound validation</w:t>
      </w:r>
      <w:r>
        <w:t xml:space="preserve"> </w:t>
      </w:r>
      <w:r>
        <w:t xml:space="preserve">before serialization.</w:t>
      </w:r>
    </w:p>
    <w:p>
      <w:pPr>
        <w:keepLines/>
        <w:widowControl/>
        <w:numPr>
          <w:ilvl w:val="0"/>
          <w:numId w:val="1006"/>
        </w:numPr>
        <w:spacing w:after="100" w:before="0" w:line="264" w:lineRule="auto"/>
      </w:pPr>
      <w:r>
        <w:t xml:space="preserve">Machine-enforced verification semantics guard authorized modules</w:t>
      </w:r>
      <w:r>
        <w:t xml:space="preserve"> </w:t>
      </w:r>
      <w:r>
        <w:t xml:space="preserve">against bypassing required validation paths.</w:t>
      </w:r>
    </w:p>
    <w:bookmarkEnd w:id="40"/>
    <w:bookmarkStart w:id="41" w:name="node-request-authentication"/>
    <w:p>
      <w:pPr>
        <w:pStyle w:val="Heading1"/>
        <w:keepNext/>
        <w:keepLines/>
        <w:pageBreakBefore/>
        <w:widowControl/>
        <w:pBdr>
          <w:bottom w:val="single" w:sz="14" w:space="4" w:color="2E6FD8"/>
        </w:pBdr>
      </w:pPr>
      <w:r>
        <w:t xml:space="preserve">21. Node Request Authentication</w:t>
      </w:r>
    </w:p>
    <w:p>
      <w:pPr>
        <w:pStyle w:val="FirstParagraph"/>
        <w:keepLines/>
        <w:widowControl/>
        <w:spacing w:after="100" w:before="0" w:line="264" w:lineRule="auto"/>
      </w:pPr>
      <w:r>
        <w:t xml:space="preserve">The remediated node request-authentication frame binds method, path,</w:t>
      </w:r>
      <w:r>
        <w:t xml:space="preserve"> </w:t>
      </w:r>
      <w:r>
        <w:t xml:space="preserve">peer identity, nonce, issue time and request-body hash. Requests outside</w:t>
      </w:r>
      <w:r>
        <w:t xml:space="preserve"> </w:t>
      </w:r>
      <w:r>
        <w:t xml:space="preserve">the freshness window or exact replays are rejected.</w:t>
      </w:r>
    </w:p>
    <w:p>
      <w:pPr>
        <w:pStyle w:val="BodyText"/>
        <w:keepLines/>
        <w:widowControl/>
        <w:spacing w:after="100" w:before="0" w:line="264" w:lineRule="auto"/>
      </w:pPr>
      <w:r>
        <w:t xml:space="preserve">MAC_input = method || '\n' || path || '\n' || peer ||</w:t>
      </w:r>
      <w:r>
        <w:t xml:space="preserve"> </w:t>
      </w:r>
      <w:r>
        <w:t xml:space="preserve">'\n' || nonce || '\n' || issued_at || '\n' ||</w:t>
      </w:r>
      <w:r>
        <w:t xml:space="preserve"> </w:t>
      </w:r>
      <w:r>
        <w:t xml:space="preserve">SHA256(body)</w:t>
      </w:r>
    </w:p>
    <w:p>
      <w:pPr>
        <w:pStyle w:val="BodyText"/>
        <w:keepLines/>
        <w:widowControl/>
        <w:spacing w:after="100" w:before="0" w:line="264" w:lineRule="auto"/>
      </w:pPr>
      <w:r>
        <w:t xml:space="preserve">The audited remediation used a +/-30 second freshness window for the</w:t>
      </w:r>
      <w:r>
        <w:t xml:space="preserve"> </w:t>
      </w:r>
      <w:r>
        <w:t xml:space="preserve">authenticated node HTTP path. Transport-level validator communication</w:t>
      </w:r>
      <w:r>
        <w:t xml:space="preserve"> </w:t>
      </w:r>
      <w:r>
        <w:t xml:space="preserve">additionally uses certificate-bound/mTLS-oriented controls in the</w:t>
      </w:r>
      <w:r>
        <w:t xml:space="preserve"> </w:t>
      </w:r>
      <w:r>
        <w:t xml:space="preserve">validator transport layer.</w:t>
      </w:r>
    </w:p>
    <w:bookmarkEnd w:id="41"/>
    <w:bookmarkStart w:id="42" w:name="replay-protection"/>
    <w:p>
      <w:pPr>
        <w:pStyle w:val="Heading1"/>
        <w:keepNext/>
        <w:keepLines/>
        <w:widowControl/>
        <w:pBdr>
          <w:bottom w:val="single" w:sz="14" w:space="4" w:color="2E6FD8"/>
        </w:pBdr>
      </w:pPr>
      <w:r>
        <w:t xml:space="preserve">22. Replay Protection</w:t>
      </w:r>
    </w:p>
    <w:p>
      <w:pPr>
        <w:pStyle w:val="FirstParagraph"/>
        <w:keepLines/>
        <w:widowControl/>
        <w:spacing w:after="100" w:before="0" w:line="264" w:lineRule="auto"/>
      </w:pPr>
      <w:r>
        <w:t xml:space="preserve">Replay resistance exists at multiple layers: account nonces for</w:t>
      </w:r>
      <w:r>
        <w:t xml:space="preserve"> </w:t>
      </w:r>
      <w:r>
        <w:t xml:space="preserve">transactions, authenticated request nonces/frames for node APIs, and</w:t>
      </w:r>
      <w:r>
        <w:t xml:space="preserve"> </w:t>
      </w:r>
      <w:r>
        <w:t xml:space="preserve">subject-scoped replay windows for privileged signed operations.</w:t>
      </w:r>
    </w:p>
    <w:p>
      <w:pPr>
        <w:pStyle w:val="BodyText"/>
        <w:keepLines/>
        <w:widowControl/>
        <w:spacing w:after="100" w:before="0" w:line="264" w:lineRule="auto"/>
      </w:pPr>
      <w:r>
        <w:t xml:space="preserve">Accept(message, subject, nonce) only if Verify(message) succeeds AND</w:t>
      </w:r>
      <w:r>
        <w:t xml:space="preserve"> </w:t>
      </w:r>
      <w:r>
        <w:t xml:space="preserve">nonce is fresh for subject</w:t>
      </w:r>
    </w:p>
    <w:p>
      <w:pPr>
        <w:pStyle w:val="BodyText"/>
        <w:keepLines/>
        <w:widowControl/>
        <w:spacing w:after="100" w:before="0" w:line="264" w:lineRule="auto"/>
      </w:pPr>
      <w:r>
        <w:t xml:space="preserve">The ordering is normative: verify first, consume replay state second.</w:t>
      </w:r>
      <w:r>
        <w:t xml:space="preserve"> </w:t>
      </w:r>
      <w:r>
        <w:t xml:space="preserve">This prevents an attacker from invalidating a future legitimate</w:t>
      </w:r>
      <w:r>
        <w:t xml:space="preserve"> </w:t>
      </w:r>
      <w:r>
        <w:t xml:space="preserve">operation by submitting garbage with its nonce.</w:t>
      </w:r>
    </w:p>
    <w:bookmarkEnd w:id="42"/>
    <w:bookmarkStart w:id="43" w:name="protocol-upgrades"/>
    <w:p>
      <w:pPr>
        <w:pStyle w:val="Heading1"/>
        <w:keepNext/>
        <w:keepLines/>
        <w:widowControl/>
        <w:pBdr>
          <w:bottom w:val="single" w:sz="14" w:space="4" w:color="2E6FD8"/>
        </w:pBdr>
      </w:pPr>
      <w:r>
        <w:t xml:space="preserve">23. Protocol Upgrades</w:t>
      </w:r>
    </w:p>
    <w:p>
      <w:pPr>
        <w:pStyle w:val="FirstParagraph"/>
        <w:keepLines/>
        <w:widowControl/>
        <w:spacing w:after="100" w:before="0" w:line="264" w:lineRule="auto"/>
      </w:pPr>
      <w:r>
        <w:t xml:space="preserve">Protocol version is included in transaction signing semantics. Therefore</w:t>
      </w:r>
      <w:r>
        <w:t xml:space="preserve"> </w:t>
      </w:r>
      <w:r>
        <w:t xml:space="preserve">an activation event can change which pending signatures are valid.</w:t>
      </w:r>
      <w:r>
        <w:t xml:space="preserve"> </w:t>
      </w:r>
      <w:r>
        <w:t xml:space="preserve">Upgrade logic MUST explicitly define activation height, accepted version</w:t>
      </w:r>
      <w:r>
        <w:t xml:space="preserve"> </w:t>
      </w:r>
      <w:r>
        <w:t xml:space="preserve">window and mempool revalidation behavior.</w:t>
      </w:r>
    </w:p>
    <w:p>
      <w:pPr>
        <w:pStyle w:val="BodyText"/>
        <w:keepLines/>
        <w:widowControl/>
        <w:spacing w:after="100" w:before="0" w:line="264" w:lineRule="auto"/>
      </w:pPr>
      <w:r>
        <w:t xml:space="preserve">The frozen v3.7.5 baseline is not silently mutable. Any upgrade that</w:t>
      </w:r>
      <w:r>
        <w:t xml:space="preserve"> </w:t>
      </w:r>
      <w:r>
        <w:t xml:space="preserve">changes consensus-relevant semantics creates a new versioned protocol</w:t>
      </w:r>
      <w:r>
        <w:t xml:space="preserve"> </w:t>
      </w:r>
      <w:r>
        <w:t xml:space="preserve">state and requires renewed canonical vectors, genesis/network-identity</w:t>
      </w:r>
      <w:r>
        <w:t xml:space="preserve"> </w:t>
      </w:r>
      <w:r>
        <w:t xml:space="preserve">analysis where applicable, tests and audit evidence.</w:t>
      </w:r>
    </w:p>
    <w:bookmarkEnd w:id="43"/>
    <w:bookmarkStart w:id="44" w:name="deterministic-cross-client-contract"/>
    <w:p>
      <w:pPr>
        <w:pStyle w:val="Heading1"/>
        <w:keepNext/>
        <w:keepLines/>
        <w:widowControl/>
        <w:pBdr>
          <w:bottom w:val="single" w:sz="14" w:space="4" w:color="2E6FD8"/>
        </w:pBdr>
      </w:pPr>
      <w:r>
        <w:t xml:space="preserve">24. Deterministic Cross-Client Contract</w:t>
      </w:r>
    </w:p>
    <w:p>
      <w:pPr>
        <w:pStyle w:val="FirstParagraph"/>
        <w:keepLines/>
        <w:widowControl/>
        <w:spacing w:after="100" w:before="0" w:line="264" w:lineRule="auto"/>
      </w:pPr>
      <w:r>
        <w:t xml:space="preserve">Qanovra maintains canonicalization implementations across Python,</w:t>
      </w:r>
      <w:r>
        <w:t xml:space="preserve"> </w:t>
      </w:r>
      <w:r>
        <w:t xml:space="preserve">JavaScript and Go. For every consensus-relevant object x:</w:t>
      </w:r>
    </w:p>
    <w:p>
      <w:pPr>
        <w:pStyle w:val="BodyText"/>
        <w:keepLines/>
        <w:widowControl/>
        <w:spacing w:after="100" w:before="0" w:line="264" w:lineRule="auto"/>
      </w:pPr>
      <w:r>
        <w:t xml:space="preserve">C_python(x) = C_javascript(x) = C_go(x)</w:t>
      </w:r>
    </w:p>
    <w:p>
      <w:pPr>
        <w:pStyle w:val="BodyText"/>
        <w:keepLines/>
        <w:widowControl/>
        <w:spacing w:after="100" w:before="0" w:line="264" w:lineRule="auto"/>
      </w:pPr>
      <w:r>
        <w:t xml:space="preserve">A mismatch is a release failure. The contract includes key ordering,</w:t>
      </w:r>
      <w:r>
        <w:t xml:space="preserve"> </w:t>
      </w:r>
      <w:r>
        <w:t xml:space="preserve">integer bounds, Unicode handling and rejection behavior, not merely</w:t>
      </w:r>
      <w:r>
        <w:t xml:space="preserve"> </w:t>
      </w:r>
      <w:r>
        <w:t xml:space="preserve">successful serialization of common ASCII objects.</w:t>
      </w:r>
    </w:p>
    <w:bookmarkEnd w:id="44"/>
    <w:bookmarkStart w:id="45" w:name="persistence-and-crash-consistency"/>
    <w:p>
      <w:pPr>
        <w:pStyle w:val="Heading1"/>
        <w:keepNext/>
        <w:keepLines/>
        <w:pageBreakBefore/>
        <w:widowControl/>
        <w:pBdr>
          <w:bottom w:val="single" w:sz="14" w:space="4" w:color="2E6FD8"/>
        </w:pBdr>
      </w:pPr>
      <w:r>
        <w:t xml:space="preserve">25. Persistence and Crash Consistency</w:t>
      </w:r>
    </w:p>
    <w:p>
      <w:pPr>
        <w:pStyle w:val="FirstParagraph"/>
        <w:keepLines/>
        <w:widowControl/>
        <w:spacing w:after="100" w:before="0" w:line="264" w:lineRule="auto"/>
      </w:pPr>
      <w:r>
        <w:t xml:space="preserve">The chain and account state must behave as one logical ledger.</w:t>
      </w:r>
      <w:r>
        <w:t xml:space="preserve"> </w:t>
      </w:r>
      <w:r>
        <w:t xml:space="preserve">Finalization uses a shared persistence boundary so that a crash cannot</w:t>
      </w:r>
      <w:r>
        <w:t xml:space="preserve"> </w:t>
      </w:r>
      <w:r>
        <w:t xml:space="preserve">commit account changes without the corresponding block or vice versa.</w:t>
      </w:r>
    </w:p>
    <w:p>
      <w:pPr>
        <w:keepLines/>
        <w:widowControl/>
        <w:numPr>
          <w:ilvl w:val="0"/>
          <w:numId w:val="1007"/>
        </w:numPr>
        <w:spacing w:after="100" w:before="0" w:line="264" w:lineRule="auto"/>
      </w:pPr>
      <w:r>
        <w:t xml:space="preserve">Preview state transition.</w:t>
      </w:r>
    </w:p>
    <w:p>
      <w:pPr>
        <w:keepLines/>
        <w:widowControl/>
        <w:numPr>
          <w:ilvl w:val="0"/>
          <w:numId w:val="1007"/>
        </w:numPr>
        <w:spacing w:after="100" w:before="0" w:line="264" w:lineRule="auto"/>
      </w:pPr>
      <w:r>
        <w:t xml:space="preserve">Compare computed state root with proposal commitment.</w:t>
      </w:r>
    </w:p>
    <w:p>
      <w:pPr>
        <w:keepLines/>
        <w:widowControl/>
        <w:numPr>
          <w:ilvl w:val="0"/>
          <w:numId w:val="1007"/>
        </w:numPr>
        <w:spacing w:after="100" w:before="0" w:line="264" w:lineRule="auto"/>
      </w:pPr>
      <w:r>
        <w:t xml:space="preserve">Begin atomic persistence transaction.</w:t>
      </w:r>
    </w:p>
    <w:p>
      <w:pPr>
        <w:keepLines/>
        <w:widowControl/>
        <w:numPr>
          <w:ilvl w:val="0"/>
          <w:numId w:val="1007"/>
        </w:numPr>
        <w:spacing w:after="100" w:before="0" w:line="264" w:lineRule="auto"/>
      </w:pPr>
      <w:r>
        <w:t xml:space="preserve">Apply block state changes without independent commit.</w:t>
      </w:r>
    </w:p>
    <w:p>
      <w:pPr>
        <w:keepLines/>
        <w:widowControl/>
        <w:numPr>
          <w:ilvl w:val="0"/>
          <w:numId w:val="1007"/>
        </w:numPr>
        <w:spacing w:after="100" w:before="0" w:line="264" w:lineRule="auto"/>
      </w:pPr>
      <w:r>
        <w:t xml:space="preserve">Append chain record without independent commit.</w:t>
      </w:r>
    </w:p>
    <w:p>
      <w:pPr>
        <w:keepLines/>
        <w:widowControl/>
        <w:numPr>
          <w:ilvl w:val="0"/>
          <w:numId w:val="1007"/>
        </w:numPr>
        <w:spacing w:after="100" w:before="0" w:line="264" w:lineRule="auto"/>
      </w:pPr>
      <w:r>
        <w:t xml:space="preserve">Re-check root/supply invariants.</w:t>
      </w:r>
    </w:p>
    <w:p>
      <w:pPr>
        <w:keepLines/>
        <w:widowControl/>
        <w:numPr>
          <w:ilvl w:val="0"/>
          <w:numId w:val="1007"/>
        </w:numPr>
        <w:spacing w:after="100" w:before="0" w:line="264" w:lineRule="auto"/>
      </w:pPr>
      <w:r>
        <w:t xml:space="preserve">Commit once.</w:t>
      </w:r>
    </w:p>
    <w:p>
      <w:pPr>
        <w:keepLines/>
        <w:widowControl/>
        <w:numPr>
          <w:ilvl w:val="0"/>
          <w:numId w:val="1007"/>
        </w:numPr>
        <w:spacing w:after="100" w:before="0" w:line="264" w:lineRule="auto"/>
      </w:pPr>
      <w:r>
        <w:t xml:space="preserve">On startup, reconcile tip and state root.</w:t>
      </w:r>
    </w:p>
    <w:bookmarkEnd w:id="45"/>
    <w:bookmarkStart w:id="46" w:name="security-invariants"/>
    <w:p>
      <w:pPr>
        <w:pStyle w:val="Heading1"/>
        <w:keepNext/>
        <w:keepLines/>
        <w:widowControl/>
        <w:pBdr>
          <w:bottom w:val="single" w:sz="14" w:space="4" w:color="2E6FD8"/>
        </w:pBdr>
      </w:pPr>
      <w:r>
        <w:t xml:space="preserve">26. Security Invariants</w:t>
      </w:r>
    </w:p>
    <w:tbl>
      <w:tblPr>
        <w:tblStyle w:val="Table"/>
        <w:tblW w:type="pct" w:w="486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852"/>
        <w:gridCol w:w="3852"/>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Invariant</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Required condition</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Network identity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 derived from canonical</w:t>
            </w:r>
            <w:r>
              <w:rPr>
                <w:rFonts w:ascii="Arial" w:hAnsi="Arial"/>
                <w:color w:val="1B222C"/>
                <w:sz w:val="18"/>
              </w:rPr>
              <w:t xml:space="preserve"> </w:t>
            </w:r>
            <w:r>
              <w:rPr>
                <w:rFonts w:ascii="Arial" w:hAnsi="Arial"/>
                <w:color w:val="1B222C"/>
                <w:sz w:val="18"/>
              </w:rPr>
              <w:t xml:space="preserve">genesis hash</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Canonicalization</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Byte-identical across qualified</w:t>
            </w:r>
            <w:r>
              <w:rPr>
                <w:rFonts w:ascii="Arial" w:hAnsi="Arial"/>
                <w:color w:val="1B222C"/>
                <w:sz w:val="18"/>
              </w:rPr>
              <w:t xml:space="preserve"> </w:t>
            </w:r>
            <w:r>
              <w:rPr>
                <w:rFonts w:ascii="Arial" w:hAnsi="Arial"/>
                <w:color w:val="1B222C"/>
                <w:sz w:val="18"/>
              </w:rPr>
              <w:t xml:space="preserve">clients</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Supply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balances + burned = expected supply</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State atomicity</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invalid/failing finalization leaves</w:t>
            </w:r>
            <w:r>
              <w:rPr>
                <w:rFonts w:ascii="Arial" w:hAnsi="Arial"/>
                <w:color w:val="1B222C"/>
                <w:sz w:val="18"/>
              </w:rPr>
              <w:t xml:space="preserve"> </w:t>
            </w:r>
            <w:r>
              <w:rPr>
                <w:rFonts w:ascii="Arial" w:hAnsi="Arial"/>
                <w:color w:val="1B222C"/>
                <w:sz w:val="18"/>
              </w:rPr>
              <w:t xml:space="preserve">chain and state unchanged</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Height uniqueness</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already-finalized height cannot be</w:t>
            </w:r>
            <w:r>
              <w:rPr>
                <w:rFonts w:ascii="Arial" w:hAnsi="Arial"/>
                <w:color w:val="1B222C"/>
                <w:sz w:val="18"/>
              </w:rPr>
              <w:t xml:space="preserve"> </w:t>
            </w:r>
            <w:r>
              <w:rPr>
                <w:rFonts w:ascii="Arial" w:hAnsi="Arial"/>
                <w:color w:val="1B222C"/>
                <w:sz w:val="18"/>
              </w:rPr>
              <w:t xml:space="preserve">finalized again</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User/system separation</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ordinary key derivation cannot</w:t>
            </w:r>
            <w:r>
              <w:rPr>
                <w:rFonts w:ascii="Arial" w:hAnsi="Arial"/>
                <w:color w:val="1B222C"/>
                <w:sz w:val="18"/>
              </w:rPr>
              <w:t xml:space="preserve"> </w:t>
            </w:r>
            <w:r>
              <w:rPr>
                <w:rFonts w:ascii="Arial" w:hAnsi="Arial"/>
                <w:color w:val="1B222C"/>
                <w:sz w:val="18"/>
              </w:rPr>
              <w:t xml:space="preserve">produce qnv:system:*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Treasury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exact 4-of-7 policy</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Replay</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invalid signature cannot consume</w:t>
            </w:r>
            <w:r>
              <w:rPr>
                <w:rFonts w:ascii="Arial" w:hAnsi="Arial"/>
                <w:color w:val="1B222C"/>
                <w:sz w:val="18"/>
              </w:rPr>
              <w:t xml:space="preserve"> </w:t>
            </w:r>
            <w:r>
              <w:rPr>
                <w:rFonts w:ascii="Arial" w:hAnsi="Arial"/>
                <w:color w:val="1B222C"/>
                <w:sz w:val="18"/>
              </w:rPr>
              <w:t xml:space="preserve">legitimate nonce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Amount safety</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signed monetary values bounded</w:t>
            </w:r>
            <w:r>
              <w:rPr>
                <w:rFonts w:ascii="Arial" w:hAnsi="Arial"/>
                <w:color w:val="1B222C"/>
                <w:sz w:val="18"/>
              </w:rPr>
              <w:t xml:space="preserve"> </w:t>
            </w:r>
            <w:r>
              <w:rPr>
                <w:rFonts w:ascii="Arial" w:hAnsi="Arial"/>
                <w:color w:val="1B222C"/>
                <w:sz w:val="18"/>
              </w:rPr>
              <w:t xml:space="preserve">before canonicalization</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Validator quorum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 &gt; 2n/3</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Validator floor</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n &gt;= 4 in validator-set</w:t>
            </w:r>
            <w:r>
              <w:rPr>
                <w:rFonts w:ascii="Arial" w:hAnsi="Arial"/>
                <w:color w:val="1B222C"/>
                <w:sz w:val="18"/>
              </w:rPr>
              <w:t xml:space="preserve"> </w:t>
            </w:r>
            <w:r>
              <w:rPr>
                <w:rFonts w:ascii="Arial" w:hAnsi="Arial"/>
                <w:color w:val="1B222C"/>
                <w:sz w:val="18"/>
              </w:rPr>
              <w:t xml:space="preserve">transitions</w:t>
            </w:r>
          </w:p>
        </w:tc>
      </w:tr>
    </w:tbl>
    <w:bookmarkEnd w:id="46"/>
    <w:bookmarkStart w:id="47" w:name="threat-model"/>
    <w:p>
      <w:pPr>
        <w:pStyle w:val="Heading1"/>
        <w:keepNext/>
        <w:keepLines/>
        <w:pageBreakBefore/>
        <w:widowControl/>
        <w:pBdr>
          <w:bottom w:val="single" w:sz="14" w:space="4" w:color="2E6FD8"/>
        </w:pBdr>
      </w:pPr>
      <w:r>
        <w:t xml:space="preserve">27. Threat Model</w:t>
      </w:r>
    </w:p>
    <w:p>
      <w:pPr>
        <w:pStyle w:val="FirstParagraph"/>
        <w:keepLines/>
        <w:widowControl/>
        <w:spacing w:after="100" w:before="0" w:line="264" w:lineRule="auto"/>
      </w:pPr>
      <w:r>
        <w:t xml:space="preserve">The protocol threat model includes adversarial clients, malicious or</w:t>
      </w:r>
      <w:r>
        <w:t xml:space="preserve"> </w:t>
      </w:r>
      <w:r>
        <w:t xml:space="preserve">faulty validators, replay attempts, malformed canonical objects,</w:t>
      </w:r>
      <w:r>
        <w:t xml:space="preserve"> </w:t>
      </w:r>
      <w:r>
        <w:t xml:space="preserve">oversized monetary values, crashes during persistence, stale</w:t>
      </w:r>
      <w:r>
        <w:t xml:space="preserve"> </w:t>
      </w:r>
      <w:r>
        <w:t xml:space="preserve">configuration, compromised operational credentials, long-range/history</w:t>
      </w:r>
      <w:r>
        <w:t xml:space="preserve"> </w:t>
      </w:r>
      <w:r>
        <w:t xml:space="preserve">manipulation attempts, eclipse isolation, network partitions and</w:t>
      </w:r>
      <w:r>
        <w:t xml:space="preserve"> </w:t>
      </w:r>
      <w:r>
        <w:t xml:space="preserve">targeted denial-of-service. It does not assume that software alone can</w:t>
      </w:r>
      <w:r>
        <w:t xml:space="preserve"> </w:t>
      </w:r>
      <w:r>
        <w:t xml:space="preserve">guarantee physical custody, legal independence of operators or perfect</w:t>
      </w:r>
      <w:r>
        <w:t xml:space="preserve"> </w:t>
      </w:r>
      <w:r>
        <w:t xml:space="preserve">network availability.</w:t>
      </w:r>
    </w:p>
    <w:p>
      <w:pPr>
        <w:pStyle w:val="BodyText"/>
        <w:keepLines/>
        <w:widowControl/>
        <w:spacing w:after="100" w:before="0" w:line="264" w:lineRule="auto"/>
      </w:pPr>
      <w:r>
        <w:t xml:space="preserve">Validator-set transitions bind the exact previous and new set and</w:t>
      </w:r>
      <w:r>
        <w:t xml:space="preserve"> </w:t>
      </w:r>
      <w:r>
        <w:t xml:space="preserve">require authenticated transition evidence; this provides a verifiable</w:t>
      </w:r>
      <w:r>
        <w:t xml:space="preserve"> </w:t>
      </w:r>
      <w:r>
        <w:t xml:space="preserve">chain of set changes from an accepted trust anchor and is relevant to</w:t>
      </w:r>
      <w:r>
        <w:t xml:space="preserve"> </w:t>
      </w:r>
      <w:r>
        <w:t xml:space="preserve">long-range/history defense. It is not represented as a complete</w:t>
      </w:r>
      <w:r>
        <w:t xml:space="preserve"> </w:t>
      </w:r>
      <w:r>
        <w:t xml:space="preserve">weak-subjectivity solution without corresponding sync/checkpoint</w:t>
      </w:r>
      <w:r>
        <w:t xml:space="preserve"> </w:t>
      </w:r>
      <w:r>
        <w:t xml:space="preserve">evidence. Eclipse and partition resilience depend on real peer/operator</w:t>
      </w:r>
      <w:r>
        <w:t xml:space="preserve"> </w:t>
      </w:r>
      <w:r>
        <w:t xml:space="preserve">diversity and network deployment; DoS resistance depends on bounded</w:t>
      </w:r>
      <w:r>
        <w:t xml:space="preserve"> </w:t>
      </w:r>
      <w:r>
        <w:t xml:space="preserve">admission/resource controls and external infrastructure qualification.</w:t>
      </w:r>
      <w:r>
        <w:t xml:space="preserve"> </w:t>
      </w:r>
      <w:r>
        <w:t xml:space="preserve">Safety claims remain bounded by the implemented consensus model, and</w:t>
      </w:r>
      <w:r>
        <w:t xml:space="preserve"> </w:t>
      </w:r>
      <w:r>
        <w:t xml:space="preserve">liveness can fail under sufficiently adverse network/proposer conditions</w:t>
      </w:r>
      <w:r>
        <w:t xml:space="preserve"> </w:t>
      </w:r>
      <w:r>
        <w:t xml:space="preserve">without implying a safety break.</w:t>
      </w:r>
    </w:p>
    <w:bookmarkEnd w:id="47"/>
    <w:bookmarkStart w:id="48" w:name="verification-and-audit-evidence"/>
    <w:p>
      <w:pPr>
        <w:pStyle w:val="Heading1"/>
        <w:keepNext/>
        <w:keepLines/>
        <w:widowControl/>
        <w:pBdr>
          <w:bottom w:val="single" w:sz="14" w:space="4" w:color="2E6FD8"/>
        </w:pBdr>
      </w:pPr>
      <w:r>
        <w:t xml:space="preserve">28. Verification and Audit Evidence</w:t>
      </w:r>
    </w:p>
    <w:p>
      <w:pPr>
        <w:pStyle w:val="FirstParagraph"/>
        <w:keepLines/>
        <w:widowControl/>
        <w:spacing w:after="100" w:before="0" w:line="264" w:lineRule="auto"/>
      </w:pPr>
      <w:r>
        <w:t xml:space="preserve">The v3.7.5 technical handoff records 34/34 release checks passing, 284</w:t>
      </w:r>
      <w:r>
        <w:t xml:space="preserve"> </w:t>
      </w:r>
      <w:r>
        <w:t xml:space="preserve">Python tests with zero failures, cross-client genesis/canonicalization</w:t>
      </w:r>
      <w:r>
        <w:t xml:space="preserve"> </w:t>
      </w:r>
      <w:r>
        <w:t xml:space="preserve">evidence, and supply-fuzz evidence preserving the full ledger supply.</w:t>
      </w:r>
      <w:r>
        <w:t xml:space="preserve"> </w:t>
      </w:r>
      <w:r>
        <w:t xml:space="preserve">The candidate manifest contains 501 entries with no unmanifested files</w:t>
      </w:r>
      <w:r>
        <w:t xml:space="preserve"> </w:t>
      </w:r>
      <w:r>
        <w:t xml:space="preserve">in the reviewed handoff.</w:t>
      </w:r>
    </w:p>
    <w:p>
      <w:pPr>
        <w:pStyle w:val="BodyText"/>
        <w:keepLines/>
        <w:widowControl/>
        <w:spacing w:after="100" w:before="0" w:line="264" w:lineRule="auto"/>
      </w:pPr>
      <w:r>
        <w:t xml:space="preserve">These measurements support the frozen baseline but do not replace formal</w:t>
      </w:r>
      <w:r>
        <w:t xml:space="preserve"> </w:t>
      </w:r>
      <w:r>
        <w:t xml:space="preserve">independent attestation. The release flags for broader deployment remain</w:t>
      </w:r>
      <w:r>
        <w:t xml:space="preserve"> </w:t>
      </w:r>
      <w:r>
        <w:t xml:space="preserve">conservative until external gates are completed.</w:t>
      </w:r>
    </w:p>
    <w:bookmarkEnd w:id="48"/>
    <w:bookmarkStart w:id="49" w:name="Xc3cd34a568b5f5b8e5cda3a60b4913f2aa7a793"/>
    <w:p>
      <w:pPr>
        <w:pStyle w:val="Heading1"/>
        <w:keepNext/>
        <w:keepLines/>
        <w:widowControl/>
        <w:pBdr>
          <w:bottom w:val="single" w:sz="14" w:space="4" w:color="2E6FD8"/>
        </w:pBdr>
      </w:pPr>
      <w:r>
        <w:t xml:space="preserve">29. External Gates Outside the Protocol Proof</w:t>
      </w:r>
    </w:p>
    <w:p>
      <w:pPr>
        <w:keepLines/>
        <w:widowControl/>
        <w:numPr>
          <w:ilvl w:val="0"/>
          <w:numId w:val="1008"/>
        </w:numPr>
        <w:spacing w:after="100" w:before="0" w:line="264" w:lineRule="auto"/>
      </w:pPr>
      <w:r>
        <w:t xml:space="preserve">Formal independent attestation of the v3.7.5 L1 candidate.</w:t>
      </w:r>
    </w:p>
    <w:p>
      <w:pPr>
        <w:keepLines/>
        <w:widowControl/>
        <w:numPr>
          <w:ilvl w:val="0"/>
          <w:numId w:val="1008"/>
        </w:numPr>
        <w:spacing w:after="100" w:before="0" w:line="264" w:lineRule="auto"/>
      </w:pPr>
      <w:r>
        <w:t xml:space="preserve">Real 4-of-7 key ceremony using qualified non-exporting HSM/KMS/Vault</w:t>
      </w:r>
      <w:r>
        <w:t xml:space="preserve"> </w:t>
      </w:r>
      <w:r>
        <w:t xml:space="preserve">infrastructure.</w:t>
      </w:r>
    </w:p>
    <w:p>
      <w:pPr>
        <w:keepLines/>
        <w:widowControl/>
        <w:numPr>
          <w:ilvl w:val="0"/>
          <w:numId w:val="1008"/>
        </w:numPr>
        <w:spacing w:after="100" w:before="0" w:line="264" w:lineRule="auto"/>
      </w:pPr>
      <w:r>
        <w:t xml:space="preserve">Independent validator-operator onboarding.</w:t>
      </w:r>
    </w:p>
    <w:p>
      <w:pPr>
        <w:keepLines/>
        <w:widowControl/>
        <w:numPr>
          <w:ilvl w:val="0"/>
          <w:numId w:val="1008"/>
        </w:numPr>
        <w:spacing w:after="100" w:before="0" w:line="264" w:lineRule="auto"/>
      </w:pPr>
      <w:r>
        <w:t xml:space="preserve">Genuinely geographic disaster-recovery rehearsal.</w:t>
      </w:r>
    </w:p>
    <w:p>
      <w:pPr>
        <w:keepLines/>
        <w:widowControl/>
        <w:numPr>
          <w:ilvl w:val="0"/>
          <w:numId w:val="1008"/>
        </w:numPr>
        <w:spacing w:after="100" w:before="0" w:line="264" w:lineRule="auto"/>
      </w:pPr>
      <w:r>
        <w:t xml:space="preserve">Independent security assessment/red-team qualification where</w:t>
      </w:r>
      <w:r>
        <w:t xml:space="preserve"> </w:t>
      </w:r>
      <w:r>
        <w:t xml:space="preserve">required.</w:t>
      </w:r>
    </w:p>
    <w:p>
      <w:pPr>
        <w:keepLines/>
        <w:widowControl/>
        <w:numPr>
          <w:ilvl w:val="0"/>
          <w:numId w:val="1008"/>
        </w:numPr>
        <w:spacing w:after="100" w:before="0" w:line="264" w:lineRule="auto"/>
      </w:pPr>
      <w:r>
        <w:t xml:space="preserve">Legal and regulatory approval for the intended launch context.</w:t>
      </w:r>
    </w:p>
    <w:p>
      <w:pPr>
        <w:pStyle w:val="FirstParagraph"/>
        <w:keepLines/>
        <w:widowControl/>
        <w:spacing w:after="100" w:before="0" w:line="264" w:lineRule="auto"/>
      </w:pPr>
      <w:r>
        <w:t xml:space="preserve">A software test cannot truthfully mark these real-world events complete.</w:t>
      </w:r>
    </w:p>
    <w:bookmarkEnd w:id="49"/>
    <w:bookmarkStart w:id="50" w:name="conformance-requirements"/>
    <w:p>
      <w:pPr>
        <w:pStyle w:val="Heading1"/>
        <w:keepNext/>
        <w:keepLines/>
        <w:widowControl/>
        <w:pBdr>
          <w:bottom w:val="single" w:sz="14" w:space="4" w:color="2E6FD8"/>
        </w:pBdr>
      </w:pPr>
      <w:r>
        <w:t xml:space="preserve">30. Conformance Requirements</w:t>
      </w:r>
    </w:p>
    <w:p>
      <w:pPr>
        <w:pStyle w:val="FirstParagraph"/>
        <w:keepLines/>
        <w:widowControl/>
        <w:spacing w:after="100" w:before="0" w:line="264" w:lineRule="auto"/>
      </w:pPr>
      <w:r>
        <w:t xml:space="preserve">A conforming Qanovra v3.7.5 implementation MUST reproduce the canonical</w:t>
      </w:r>
      <w:r>
        <w:t xml:space="preserve"> </w:t>
      </w:r>
      <w:r>
        <w:t xml:space="preserve">network identity and MUST preserve every invariant in Section 26. It</w:t>
      </w:r>
      <w:r>
        <w:t xml:space="preserve"> </w:t>
      </w:r>
      <w:r>
        <w:t xml:space="preserve">MUST fail closed on unsupported canonical values, invalid signatures,</w:t>
      </w:r>
      <w:r>
        <w:t xml:space="preserve"> </w:t>
      </w:r>
      <w:r>
        <w:t xml:space="preserve">mismatched genesis identity, state-root mismatch, unauthorized</w:t>
      </w:r>
      <w:r>
        <w:t xml:space="preserve"> </w:t>
      </w:r>
      <w:r>
        <w:t xml:space="preserve">privileged mutations and supply violations.</w:t>
      </w:r>
    </w:p>
    <w:p>
      <w:pPr>
        <w:pStyle w:val="BodyText"/>
        <w:keepLines/>
        <w:widowControl/>
        <w:spacing w:after="100" w:before="0" w:line="264" w:lineRule="auto"/>
      </w:pPr>
      <w:r>
        <w:t xml:space="preserve">A client MAY implement additional read-only functionality, indexing or</w:t>
      </w:r>
      <w:r>
        <w:t xml:space="preserve"> </w:t>
      </w:r>
      <w:r>
        <w:t xml:space="preserve">observability, provided it does not alter consensus-relevant bytes or</w:t>
      </w:r>
      <w:r>
        <w:t xml:space="preserve"> </w:t>
      </w:r>
      <w:r>
        <w:t xml:space="preserve">acceptance semantics.</w:t>
      </w:r>
    </w:p>
    <w:bookmarkEnd w:id="50"/>
    <w:bookmarkStart w:id="51" w:name="known-specification-boundaries"/>
    <w:p>
      <w:pPr>
        <w:pStyle w:val="Heading1"/>
        <w:keepNext/>
        <w:keepLines/>
        <w:widowControl/>
        <w:pBdr>
          <w:bottom w:val="single" w:sz="14" w:space="4" w:color="2E6FD8"/>
        </w:pBdr>
      </w:pPr>
      <w:r>
        <w:t xml:space="preserve">31. Known Specification Boundaries</w:t>
      </w:r>
    </w:p>
    <w:p>
      <w:pPr>
        <w:pStyle w:val="FirstParagraph"/>
        <w:keepLines/>
        <w:widowControl/>
        <w:spacing w:after="100" w:before="0" w:line="264" w:lineRule="auto"/>
      </w:pPr>
      <w:r>
        <w:t>Known specification boundaries are explicit rather than guessed. The exact unbonding duration, treasury timelock duration, annual treasury cap, fee-assessment/minimum-fee parameters, block/transaction/network resource limits, exact ordinary user-account derivation formula, and canonical liveness scheduling/view-change details remain CANONICAL_EXTRACTION_REQUIRED unless supplied in the evidence set. The descriptive label of the remaining 10% genesis allocation remains governed by the canonical genesis allocation schedule. v2.4 adds publication-policy decisions for reward funding, Core Team vesting, slash-principal basis and user-account migration design boundaries, but does not claim runtime enforcement until evidence demonstrates it.</w:t>
      </w:r>
    </w:p>
    <w:p>
      <w:pPr>
        <w:pStyle w:val="BodyText"/>
        <w:keepLines/>
        <w:widowControl/>
        <w:spacing w:after="100" w:before="0" w:line="264" w:lineRule="auto"/>
      </w:pPr>
      <w:r>
        <w:t xml:space="preserve">A Yellow Paper should be more precise than a Whitepaper, not more</w:t>
      </w:r>
      <w:r>
        <w:t xml:space="preserve"> </w:t>
      </w:r>
      <w:r>
        <w:t xml:space="preserve">imaginative: unresolved canonical values are publication tasks, not</w:t>
      </w:r>
      <w:r>
        <w:t xml:space="preserve"> </w:t>
      </w:r>
      <w:r>
        <w:t xml:space="preserve">invitations to invent them.</w:t>
      </w:r>
    </w:p>
    <w:bookmarkEnd w:id="51"/>
    <w:bookmarkStart w:id="52" w:name="frozen-baseline-summary"/>
    <w:p>
      <w:pPr>
        <w:pStyle w:val="Heading1"/>
        <w:keepNext/>
        <w:keepLines/>
        <w:pageBreakBefore/>
        <w:widowControl/>
        <w:pBdr>
          <w:bottom w:val="single" w:sz="14" w:space="4" w:color="2E6FD8"/>
        </w:pBdr>
      </w:pPr>
      <w:r>
        <w:t xml:space="preserve">32. Frozen Baseline Summary</w:t>
      </w:r>
    </w:p>
    <w:tbl>
      <w:tblPr>
        <w:tblStyle w:val="Table"/>
        <w:tblW w:type="pct" w:w="4905"/>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715"/>
        <w:gridCol w:w="5053"/>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Property</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v3.7.5 baseline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L1</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v3.7.5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Genesis</w:t>
            </w:r>
          </w:p>
        </w:tc>
        <w:tc>
          <w:tcPr>
            <w:shd w:val="clear" w:fill="F3F6FB"/>
            <w:vAlign w:val="center"/>
            <w:tcMar>
              <w:top w:w="60" w:type="dxa"/>
              <w:start w:w="80" w:type="dxa"/>
              <w:bottom w:w="60" w:type="dxa"/>
              <w:end w:w="80" w:type="dxa"/>
            </w:tcMar>
          </w:tcPr>
          <w:p>
            <w:pPr>
              <w:pStyle w:val="Compact"/>
              <w:keepNext w:val="0"/>
              <w:keepLines/>
              <w:widowControl/>
              <w:spacing w:before="0" w:after="0" w:line="240" w:lineRule="auto"/>
              <w:jc w:val="left"/>
            </w:pPr>
            <w:r>
              <w:rPr>
                <w:rFonts w:ascii="Liberation Mono" w:hAnsi="Liberation Mono" w:eastAsia="Liberation Mono"/>
                <w:color w:val="1B222C"/>
                <w:sz w:val="15"/>
              </w:rPr>
              <w:t xml:space="preserve">78cefe355c7fb55c53dd173c9ca9d340306054a7fd5718e70d1d3193be7b93a3</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Chain ID</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qnv-78cefe355c7fb55c53dd173c</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Unit</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QNV / qnv-atom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Decimals</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5</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Max supply</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10 billion QNV / 10^15 qnv-atom</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Ledger</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Single authoritative AccountState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Treasury</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Exact 4-of-7</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Consensus quorum</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floor(2n/3)+1, validator-count based</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Validator minimum</w:t>
            </w:r>
          </w:p>
        </w:tc>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4</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Cross-client contract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Python / JavaScript / Go canonical parity</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Release state</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Frozen technical baseline; external launch gates remain separate</w:t>
            </w:r>
          </w:p>
        </w:tc>
      </w:tr>
    </w:tbl>
    <w:bookmarkEnd w:id="52"/>
    <w:bookmarkStart w:id="53" w:name="conclusion"/>
    <w:p>
      <w:pPr>
        <w:pStyle w:val="Heading1"/>
        <w:keepNext/>
        <w:keepLines/>
        <w:widowControl/>
        <w:pBdr>
          <w:bottom w:val="single" w:sz="14" w:space="4" w:color="2E6FD8"/>
        </w:pBdr>
      </w:pPr>
      <w:r>
        <w:t xml:space="preserve">33. Conclusion</w:t>
      </w:r>
    </w:p>
    <w:p>
      <w:pPr>
        <w:pStyle w:val="FirstParagraph"/>
        <w:keepLines/>
        <w:widowControl/>
        <w:spacing w:after="100" w:before="0" w:line="264" w:lineRule="auto"/>
      </w:pPr>
      <w:r>
        <w:t xml:space="preserve">Qanovra v3.7.5 is specified as a deterministic, genesis-bound state</w:t>
      </w:r>
      <w:r>
        <w:t xml:space="preserve"> </w:t>
      </w:r>
      <w:r>
        <w:t xml:space="preserve">machine with a single monetary ledger, explicit system-account</w:t>
      </w:r>
      <w:r>
        <w:t xml:space="preserve"> </w:t>
      </w:r>
      <w:r>
        <w:t xml:space="preserve">boundaries, cross-client canonicalization, Byzantine-majority quorum</w:t>
      </w:r>
      <w:r>
        <w:t xml:space="preserve"> </w:t>
      </w:r>
      <w:r>
        <w:t xml:space="preserve">rules, atomic finalization and policy-controlled economic operations.</w:t>
      </w:r>
      <w:r>
        <w:t xml:space="preserve"> </w:t>
      </w:r>
      <w:r>
        <w:t xml:space="preserve">Its strongest design principle is that critical claims are expressed as</w:t>
      </w:r>
      <w:r>
        <w:t xml:space="preserve"> </w:t>
      </w:r>
      <w:r>
        <w:t xml:space="preserve">invariants that can be tested against artifacts rather than as informal</w:t>
      </w:r>
      <w:r>
        <w:t xml:space="preserve"> </w:t>
      </w:r>
      <w:r>
        <w:t xml:space="preserve">assurances.</w:t>
      </w:r>
    </w:p>
    <w:p>
      <w:pPr>
        <w:pStyle w:val="BodyText"/>
        <w:keepLines/>
        <w:widowControl/>
        <w:spacing w:after="100" w:before="0" w:line="264" w:lineRule="auto"/>
      </w:pPr>
      <w:r>
        <w:t>The canonical implementation, genesis configuration and signed release evidence remain the final authority for the frozen L1. This Yellow Paper v2.4 is the technical companion to the Qanovra Whitepaper v2.4 and is a publication candidate: high-severity document-policy gaps are closed, while canonical values not actually recovered remain explicitly queued for evidence extraction before final publication.</w:t>
      </w:r>
      <w:r/>
      <w:r/>
      <w:r/>
      <w:r/>
      <w:r/>
      <w:r/>
      <w:r/>
      <w:r/>
      <w:r/>
      <w:r/>
    </w:p>
    <w:bookmarkEnd w:id="53"/>
    <w:bookmarkStart w:id="54" w:name="appendix-a---core-equations"/>
    <w:p>
      <w:pPr>
        <w:pStyle w:val="Heading1"/>
        <w:keepNext/>
        <w:keepLines/>
        <w:widowControl/>
        <w:pBdr>
          <w:bottom w:val="single" w:sz="14" w:space="4" w:color="2E6FD8"/>
        </w:pBdr>
      </w:pPr>
      <w:r>
        <w:t xml:space="preserve">Appendix A - Core Equations</w:t>
      </w:r>
    </w:p>
    <w:p>
      <w:pPr>
        <w:pStyle w:val="FirstParagraph"/>
        <w:keepLines/>
        <w:widowControl/>
        <w:spacing w:after="100" w:before="0" w:line="264" w:lineRule="auto"/>
      </w:pPr>
      <w:r>
        <w:t xml:space="preserve">M_atom = 10^10 * 10^5 = 10^15 qnv-atom</w:t>
      </w:r>
    </w:p>
    <w:p>
      <w:pPr>
        <w:pStyle w:val="BodyText"/>
        <w:keepLines/>
        <w:widowControl/>
        <w:spacing w:after="100" w:before="0" w:line="264" w:lineRule="auto"/>
      </w:pPr>
      <w:r>
        <w:t xml:space="preserve">chain_id = 'qnv-' || hex(SHA256(genesis_bytes))[0:24]</w:t>
      </w:r>
    </w:p>
    <w:p>
      <w:pPr>
        <w:pStyle w:val="BodyText"/>
        <w:keepLines/>
        <w:widowControl/>
        <w:spacing w:after="100" w:before="0" w:line="264" w:lineRule="auto"/>
      </w:pPr>
      <w:r>
        <w:t xml:space="preserve">q(n) = floor(2n/3) + 1</w:t>
      </w:r>
    </w:p>
    <w:p>
      <w:pPr>
        <w:pStyle w:val="BodyText"/>
        <w:keepLines/>
        <w:widowControl/>
        <w:spacing w:after="100" w:before="0" w:line="264" w:lineRule="auto"/>
      </w:pPr>
      <w:r>
        <w:t xml:space="preserve">q(n) &gt; 2n/3</w:t>
      </w:r>
    </w:p>
    <w:p>
      <w:pPr>
        <w:pStyle w:val="BodyText"/>
        <w:keepLines/>
        <w:widowControl/>
        <w:spacing w:after="100" w:before="0" w:line="264" w:lineRule="auto"/>
      </w:pPr>
      <w:r>
        <w:t xml:space="preserve">2*q(n) - n &gt; n/3</w:t>
      </w:r>
    </w:p>
    <w:p>
      <w:pPr>
        <w:pStyle w:val="BodyText"/>
        <w:keepLines/>
        <w:widowControl/>
        <w:spacing w:after="100" w:before="0" w:line="264" w:lineRule="auto"/>
      </w:pPr>
      <w:r>
        <w:t xml:space="preserve">S' = Apply(S, B)</w:t>
      </w:r>
    </w:p>
    <w:p>
      <w:pPr>
        <w:pStyle w:val="BodyText"/>
        <w:keepLines/>
        <w:widowControl/>
        <w:spacing w:after="100" w:before="0" w:line="264" w:lineRule="auto"/>
      </w:pPr>
      <w:r>
        <w:t xml:space="preserve">Accept(B) =&gt; R(S') = B.header.state_root</w:t>
      </w:r>
    </w:p>
    <w:p>
      <w:pPr>
        <w:pStyle w:val="BodyText"/>
        <w:keepLines/>
        <w:widowControl/>
        <w:spacing w:after="100" w:before="0" w:line="264" w:lineRule="auto"/>
      </w:pPr>
      <w:r>
        <w:t xml:space="preserve">sum(balances) + burned_supply = expected_supply = 10^15</w:t>
      </w:r>
    </w:p>
    <w:p>
      <w:pPr>
        <w:pStyle w:val="BodyText"/>
        <w:keepLines/>
        <w:widowControl/>
        <w:spacing w:after="100" w:before="0" w:line="264" w:lineRule="auto"/>
      </w:pPr>
      <w:r>
        <w:t xml:space="preserve">C_py(x) = C_js(x) = C_go(x)</w:t>
      </w:r>
    </w:p>
    <w:bookmarkEnd w:id="54"/>
    <w:bookmarkStart w:id="55" w:name="appendix-b---document-control"/>
    <w:p>
      <w:pPr>
        <w:pStyle w:val="Heading1"/>
        <w:keepNext/>
        <w:keepLines/>
        <w:pageBreakBefore/>
        <w:widowControl/>
        <w:pBdr>
          <w:bottom w:val="single" w:sz="14" w:space="4" w:color="2E6FD8"/>
        </w:pBdr>
      </w:pPr>
      <w:r>
        <w:t xml:space="preserve">Appendix B - Document Control</w:t>
      </w:r>
    </w:p>
    <w:tbl>
      <w:tblPr>
        <w:tblStyle w:val="Table"/>
        <w:tblW w:type="pct" w:w="4870"/>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3702"/>
        <w:gridCol w:w="4011"/>
      </w:tblGrid>
      <w:tr>
        <w:trPr>
          <w:tblHeader w:val="true"/>
          <w:cantSplit/>
        </w:trPr>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Field</w:t>
            </w:r>
          </w:p>
        </w:tc>
        <w:tc>
          <w:tcPr>
            <w:shd w:val="clear" w:fill="0E2036"/>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b/>
                <w:bCs/>
                <w:color w:val="FFFFFF"/>
                <w:sz w:val="18"/>
              </w:rPr>
              <w:t xml:space="preserve">Value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Document</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Yellow Paper</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Version</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2.4.2 - Publication Layout Final Candidate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Status</w:t>
            </w:r>
          </w:p>
        </w:tc>
        <w:tc>
          <w:tcPr>
            <w:vAlign w:val="center"/>
            <w:tcMar>
              <w:top w:w="60" w:type="dxa"/>
              <w:start w:w="80" w:type="dxa"/>
              <w:bottom w:w="60" w:type="dxa"/>
              <w:end w:w="80" w:type="dxa"/>
            </w:tcMar>
          </w:tcPr>
          <w:p>
            <w:pPr>
              <w:keepNext/>
              <w:keepLines/>
              <w:widowControl/>
              <w:spacing w:before="0" w:after="0" w:line="240" w:lineRule="auto"/>
            </w:pPr>
            <w:r>
              <w:rPr>
                <w:rFonts w:ascii="Arial" w:hAnsi="Arial"/>
                <w:sz w:val="18"/>
              </w:rPr>
              <w:t>Technical Specification / Publication Layout Final Candidate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Baseline date</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21 August 2026 substantive baseline; layout revision 23 August 2026</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Protocol baseline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Qanovra L1 v3.7.5 Frozen L1</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Companion document</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Qanovra Whitepaper v2.4.2 Publication Layout Final Candidate</w:t>
            </w:r>
          </w:p>
        </w:tc>
      </w:tr>
      <w:tr>
        <w:trPr>
          <w:cantSplit/>
        </w:trPr>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Change rule</w:t>
            </w:r>
          </w:p>
        </w:tc>
        <w:tc>
          <w:tcPr>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Consensus/genesis/tokenomics/runtime</w:t>
            </w:r>
            <w:r>
              <w:rPr>
                <w:rFonts w:ascii="Arial" w:hAnsi="Arial"/>
                <w:color w:val="1B222C"/>
                <w:sz w:val="18"/>
              </w:rPr>
              <w:t xml:space="preserve"> </w:t>
            </w:r>
            <w:r>
              <w:rPr>
                <w:rFonts w:ascii="Arial" w:hAnsi="Arial"/>
                <w:color w:val="1B222C"/>
                <w:sz w:val="18"/>
              </w:rPr>
              <w:t xml:space="preserve">changes require versioning and renewed</w:t>
            </w:r>
            <w:r>
              <w:rPr>
                <w:rFonts w:ascii="Arial" w:hAnsi="Arial"/>
                <w:color w:val="1B222C"/>
                <w:sz w:val="18"/>
              </w:rPr>
              <w:t xml:space="preserve"> </w:t>
            </w:r>
            <w:r>
              <w:rPr>
                <w:rFonts w:ascii="Arial" w:hAnsi="Arial"/>
                <w:color w:val="1B222C"/>
                <w:sz w:val="18"/>
              </w:rPr>
              <w:t xml:space="preserve">evidence</w:t>
            </w:r>
          </w:p>
        </w:tc>
      </w:tr>
      <w:tr>
        <w:trPr>
          <w:cantSplit/>
        </w:trPr>
        <w:tc>
          <w:tcPr>
            <w:shd w:val="clear" w:fill="F3F6FB"/>
            <w:vAlign w:val="center"/>
            <w:tcMar>
              <w:top w:w="60" w:type="dxa"/>
              <w:start w:w="80" w:type="dxa"/>
              <w:bottom w:w="60" w:type="dxa"/>
              <w:end w:w="80" w:type="dxa"/>
            </w:tcMar>
          </w:tcPr>
          <w:p>
            <w:pPr>
              <w:pStyle w:val="Compact"/>
              <w:keepNext/>
              <w:keepLines/>
              <w:widowControl/>
              <w:spacing w:before="0" w:after="0" w:line="240" w:lineRule="auto"/>
              <w:jc w:val="left"/>
            </w:pPr>
            <w:r>
              <w:rPr>
                <w:rFonts w:ascii="Arial" w:hAnsi="Arial"/>
                <w:color w:val="1B222C"/>
                <w:sz w:val="18"/>
              </w:rPr>
              <w:t xml:space="preserve">Supersedes</w:t>
            </w:r>
          </w:p>
        </w:tc>
        <w:tc>
          <w:tcPr>
            <w:shd w:val="clear" w:fill="F3F6FB"/>
            <w:vAlign w:val="center"/>
            <w:tcMar>
              <w:top w:w="60" w:type="dxa"/>
              <w:start w:w="80" w:type="dxa"/>
              <w:bottom w:w="60" w:type="dxa"/>
              <w:end w:w="80" w:type="dxa"/>
            </w:tcMar>
          </w:tcPr>
          <w:p>
            <w:pPr>
              <w:keepNext/>
              <w:keepLines/>
              <w:widowControl/>
              <w:spacing w:before="0" w:after="0" w:line="240" w:lineRule="auto"/>
            </w:pPr>
            <w:r>
              <w:rPr>
                <w:rFonts w:ascii="Arial" w:hAnsi="Arial"/>
                <w:sz w:val="18"/>
              </w:rPr>
              <w:t>Yellow Paper v2.4.1 Technical Specification / Publication Layout Revision (delta-audited, 23 August 2026)</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Document history</w:t>
            </w:r>
          </w:p>
        </w:tc>
        <w:tc>
          <w:tcPr>
            <w:vAlign w:val="center"/>
            <w:tcMar>
              <w:top w:w="60" w:type="dxa"/>
              <w:start w:w="80" w:type="dxa"/>
              <w:bottom w:w="60" w:type="dxa"/>
              <w:end w:w="80" w:type="dxa"/>
            </w:tcMar>
          </w:tcPr>
          <w:p>
            <w:pPr>
              <w:keepLines/>
              <w:widowControl/>
              <w:spacing w:before="0" w:after="0" w:line="240" w:lineRule="auto"/>
            </w:pPr>
            <w:r>
              <w:rPr>
                <w:rFonts w:ascii="Arial" w:hAnsi="Arial"/>
                <w:sz w:val="18"/>
              </w:rPr>
              <w:t>v2.0 initial technical audit candidate; v2.2 readiness refresh; v2.3 external-audit remediation; v2.4 publication-candidate closure of re-audit findings; v2.4.1 typography/pagination revision; v2.4.2 hash-cell typography micro-fix only</w:t>
            </w:r>
          </w:p>
        </w:tc>
      </w:tr>
    </w:tbl>
    <w:bookmarkEnd w:id="55"/>
    <w:bookmarkStart w:id="56" w:name="X18c1622b2aff132e1168ac65d3d18cb9d2a36d2"/>
    <w:p>
      <w:pPr>
        <w:pStyle w:val="Heading1"/>
        <w:keepNext/>
        <w:keepLines/>
        <w:pageBreakBefore/>
        <w:widowControl/>
        <w:pBdr>
          <w:bottom w:val="single" w:sz="14" w:space="4" w:color="2E6FD8"/>
        </w:pBdr>
      </w:pPr>
      <w:r>
        <w:t xml:space="preserve">Appendix C - Evidence-State Separation (Non-Normative)</w:t>
      </w:r>
    </w:p>
    <w:p>
      <w:pPr>
        <w:pStyle w:val="FirstParagraph"/>
        <w:keepLines/>
        <w:widowControl/>
        <w:spacing w:after="100" w:before="0" w:line="264" w:lineRule="auto"/>
      </w:pPr>
      <w:r>
        <w:t xml:space="preserve">This appendix records the implementation/evidence state surrounding the</w:t>
      </w:r>
      <w:r>
        <w:t xml:space="preserve"> </w:t>
      </w:r>
      <w:r>
        <w:t xml:space="preserve">frozen protocol. It is non-normative and does not modify Qanovra L1</w:t>
      </w:r>
      <w:r>
        <w:t xml:space="preserve"> </w:t>
      </w:r>
      <w:r>
        <w:t xml:space="preserve">v3.7.5 consensus, genesis, state-transition or economic semantics.</w:t>
      </w:r>
    </w:p>
    <w:tbl>
      <w:tblPr>
        <w:tblStyle w:val="Table"/>
        <w:tblW w:type="pct" w:w="4867"/>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2534"/>
        <w:gridCol w:w="2534"/>
        <w:gridCol w:w="2640"/>
      </w:tblGrid>
      <w:tr>
        <w:trPr>
          <w:tblHeader w:val="true"/>
          <w:cantSplit/>
        </w:trPr>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Gate / area</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Current status</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8"/>
              </w:rPr>
              <w:t xml:space="preserve">Audit treatment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Protocol baseline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v3.7.5 frozen; genesis</w:t>
            </w:r>
            <w:r>
              <w:rPr>
                <w:rFonts w:ascii="Arial" w:hAnsi="Arial"/>
                <w:color w:val="1B222C"/>
                <w:sz w:val="18"/>
              </w:rPr>
              <w:t xml:space="preserve"> </w:t>
            </w:r>
            <w:r>
              <w:rPr>
                <w:rFonts w:ascii="Arial" w:hAnsi="Arial"/>
                <w:color w:val="1B222C"/>
                <w:sz w:val="18"/>
              </w:rPr>
              <w:t xml:space="preserve">and Chain ID unchanged.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Normative baseline</w:t>
            </w:r>
            <w:r>
              <w:rPr>
                <w:rFonts w:ascii="Arial" w:hAnsi="Arial"/>
                <w:color w:val="1B222C"/>
                <w:sz w:val="18"/>
              </w:rPr>
              <w:t xml:space="preserve"> </w:t>
            </w:r>
            <w:r>
              <w:rPr>
                <w:rFonts w:ascii="Arial" w:hAnsi="Arial"/>
                <w:color w:val="1B222C"/>
                <w:sz w:val="18"/>
              </w:rPr>
              <w:t xml:space="preserve">remains</w:t>
            </w:r>
            <w:r>
              <w:rPr>
                <w:rFonts w:ascii="Arial" w:hAnsi="Arial"/>
                <w:color w:val="1B222C"/>
                <w:sz w:val="18"/>
              </w:rPr>
              <w:t xml:space="preserve"> </w:t>
            </w:r>
            <w:r>
              <w:rPr>
                <w:rFonts w:ascii="Arial" w:hAnsi="Arial"/>
                <w:color w:val="1B222C"/>
                <w:sz w:val="18"/>
              </w:rPr>
              <w:t xml:space="preserve">implementation/genesis</w:t>
            </w:r>
            <w:r>
              <w:rPr>
                <w:rFonts w:ascii="Arial" w:hAnsi="Arial"/>
                <w:color w:val="1B222C"/>
                <w:sz w:val="18"/>
              </w:rPr>
              <w:t xml:space="preserve"> </w:t>
            </w:r>
            <w:r>
              <w:rPr>
                <w:rFonts w:ascii="Arial" w:hAnsi="Arial"/>
                <w:color w:val="1B222C"/>
                <w:sz w:val="18"/>
              </w:rPr>
              <w:t xml:space="preserve">authoritative.</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Cross-platform</w:t>
            </w:r>
            <w:r>
              <w:rPr>
                <w:rFonts w:ascii="Arial" w:hAnsi="Arial"/>
                <w:color w:val="1B222C"/>
                <w:sz w:val="18"/>
              </w:rPr>
              <w:t xml:space="preserve"> </w:t>
            </w:r>
            <w:r>
              <w:rPr>
                <w:rFonts w:ascii="Arial" w:hAnsi="Arial"/>
                <w:color w:val="1B222C"/>
                <w:sz w:val="18"/>
              </w:rPr>
              <w:t xml:space="preserve">reproducibility</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Windows/macOS</w:t>
            </w:r>
            <w:r>
              <w:rPr>
                <w:rFonts w:ascii="Arial" w:hAnsi="Arial"/>
                <w:color w:val="1B222C"/>
                <w:sz w:val="18"/>
              </w:rPr>
              <w:t xml:space="preserve"> </w:t>
            </w:r>
            <w:r>
              <w:rPr>
                <w:rFonts w:ascii="Arial" w:hAnsi="Arial"/>
                <w:color w:val="1B222C"/>
                <w:sz w:val="18"/>
              </w:rPr>
              <w:t xml:space="preserve">comparison reports</w:t>
            </w:r>
            <w:r>
              <w:rPr>
                <w:rFonts w:ascii="Arial" w:hAnsi="Arial"/>
                <w:color w:val="1B222C"/>
                <w:sz w:val="18"/>
              </w:rPr>
              <w:t xml:space="preserve"> </w:t>
            </w:r>
            <w:r>
              <w:rPr>
                <w:rFonts w:ascii="Arial" w:hAnsi="Arial"/>
                <w:color w:val="1B222C"/>
                <w:sz w:val="18"/>
              </w:rPr>
              <w:t xml:space="preserve">matching runtime and</w:t>
            </w:r>
            <w:r>
              <w:rPr>
                <w:rFonts w:ascii="Arial" w:hAnsi="Arial"/>
                <w:color w:val="1B222C"/>
                <w:sz w:val="18"/>
              </w:rPr>
              <w:t xml:space="preserve"> </w:t>
            </w:r>
            <w:r>
              <w:rPr>
                <w:rFonts w:ascii="Arial" w:hAnsi="Arial"/>
                <w:color w:val="1B222C"/>
                <w:sz w:val="18"/>
              </w:rPr>
              <w:t xml:space="preserve">vendor trees and zero</w:t>
            </w:r>
            <w:r>
              <w:rPr>
                <w:rFonts w:ascii="Arial" w:hAnsi="Arial"/>
                <w:color w:val="1B222C"/>
                <w:sz w:val="18"/>
              </w:rPr>
              <w:t xml:space="preserve"> </w:t>
            </w:r>
            <w:r>
              <w:rPr>
                <w:rFonts w:ascii="Arial" w:hAnsi="Arial"/>
                <w:color w:val="1B222C"/>
                <w:sz w:val="18"/>
              </w:rPr>
              <w:t xml:space="preserve">unexplained</w:t>
            </w:r>
            <w:r>
              <w:rPr>
                <w:rFonts w:ascii="Arial" w:hAnsi="Arial"/>
                <w:color w:val="1B222C"/>
                <w:sz w:val="18"/>
              </w:rPr>
              <w:t xml:space="preserve"> </w:t>
            </w:r>
            <w:r>
              <w:rPr>
                <w:rFonts w:ascii="Arial" w:hAnsi="Arial"/>
                <w:color w:val="1B222C"/>
                <w:sz w:val="18"/>
              </w:rPr>
              <w:t xml:space="preserve">differences.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Evidence property; not a</w:t>
            </w:r>
            <w:r>
              <w:rPr>
                <w:rFonts w:ascii="Arial" w:hAnsi="Arial"/>
                <w:color w:val="1B222C"/>
                <w:sz w:val="18"/>
              </w:rPr>
              <w:t xml:space="preserve"> </w:t>
            </w:r>
            <w:r>
              <w:rPr>
                <w:rFonts w:ascii="Arial" w:hAnsi="Arial"/>
                <w:color w:val="1B222C"/>
                <w:sz w:val="18"/>
              </w:rPr>
              <w:t xml:space="preserve">consensus rule. Final</w:t>
            </w:r>
            <w:r>
              <w:rPr>
                <w:rFonts w:ascii="Arial" w:hAnsi="Arial"/>
                <w:color w:val="1B222C"/>
                <w:sz w:val="18"/>
              </w:rPr>
              <w:t xml:space="preserve"> </w:t>
            </w:r>
            <w:r>
              <w:rPr>
                <w:rFonts w:ascii="Arial" w:hAnsi="Arial"/>
                <w:color w:val="1B222C"/>
                <w:sz w:val="18"/>
              </w:rPr>
              <w:t xml:space="preserve">observer attestation</w:t>
            </w:r>
            <w:r>
              <w:rPr>
                <w:rFonts w:ascii="Arial" w:hAnsi="Arial"/>
                <w:color w:val="1B222C"/>
                <w:sz w:val="18"/>
              </w:rPr>
              <w:t xml:space="preserve"> </w:t>
            </w:r>
            <w:r>
              <w:rPr>
                <w:rFonts w:ascii="Arial" w:hAnsi="Arial"/>
                <w:color w:val="1B222C"/>
                <w:sz w:val="18"/>
              </w:rPr>
              <w:t xml:space="preserve">belongs in the audit</w:t>
            </w:r>
            <w:r>
              <w:rPr>
                <w:rFonts w:ascii="Arial" w:hAnsi="Arial"/>
                <w:color w:val="1B222C"/>
                <w:sz w:val="18"/>
              </w:rPr>
              <w:t xml:space="preserve"> </w:t>
            </w:r>
            <w:r>
              <w:rPr>
                <w:rFonts w:ascii="Arial" w:hAnsi="Arial"/>
                <w:color w:val="1B222C"/>
                <w:sz w:val="18"/>
              </w:rPr>
              <w:t xml:space="preserve">package.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Real-device</w:t>
            </w:r>
            <w:r>
              <w:rPr>
                <w:rFonts w:ascii="Arial" w:hAnsi="Arial"/>
                <w:color w:val="1B222C"/>
                <w:sz w:val="18"/>
              </w:rPr>
              <w:t xml:space="preserve"> </w:t>
            </w:r>
            <w:r>
              <w:rPr>
                <w:rFonts w:ascii="Arial" w:hAnsi="Arial"/>
                <w:color w:val="1B222C"/>
                <w:sz w:val="18"/>
              </w:rPr>
              <w:t xml:space="preserve">qualification</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Windows/Android/iOS</w:t>
            </w:r>
            <w:r>
              <w:rPr>
                <w:rFonts w:ascii="Arial" w:hAnsi="Arial"/>
                <w:color w:val="1B222C"/>
                <w:sz w:val="18"/>
              </w:rPr>
              <w:t xml:space="preserve"> </w:t>
            </w:r>
            <w:r>
              <w:rPr>
                <w:rFonts w:ascii="Arial" w:hAnsi="Arial"/>
                <w:color w:val="1B222C"/>
                <w:sz w:val="18"/>
              </w:rPr>
              <w:t xml:space="preserve">matrix recorded</w:t>
            </w:r>
            <w:r>
              <w:rPr>
                <w:rFonts w:ascii="Arial" w:hAnsi="Arial"/>
                <w:color w:val="1B222C"/>
                <w:sz w:val="18"/>
              </w:rPr>
              <w:t xml:space="preserve"> </w:t>
            </w:r>
            <w:r>
              <w:rPr>
                <w:rFonts w:ascii="Arial" w:hAnsi="Arial"/>
                <w:color w:val="1B222C"/>
                <w:sz w:val="18"/>
              </w:rPr>
              <w:t xml:space="preserve">complete in the current</w:t>
            </w:r>
            <w:r>
              <w:rPr>
                <w:rFonts w:ascii="Arial" w:hAnsi="Arial"/>
                <w:color w:val="1B222C"/>
                <w:sz w:val="18"/>
              </w:rPr>
              <w:t xml:space="preserve"> </w:t>
            </w:r>
            <w:r>
              <w:rPr>
                <w:rFonts w:ascii="Arial" w:hAnsi="Arial"/>
                <w:color w:val="1B222C"/>
                <w:sz w:val="18"/>
              </w:rPr>
              <w:t xml:space="preserve">release line.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Wallet/client</w:t>
            </w:r>
            <w:r>
              <w:rPr>
                <w:rFonts w:ascii="Arial" w:hAnsi="Arial"/>
                <w:color w:val="1B222C"/>
                <w:sz w:val="18"/>
              </w:rPr>
              <w:t xml:space="preserve"> </w:t>
            </w:r>
            <w:r>
              <w:rPr>
                <w:rFonts w:ascii="Arial" w:hAnsi="Arial"/>
                <w:color w:val="1B222C"/>
                <w:sz w:val="18"/>
              </w:rPr>
              <w:t xml:space="preserve">qualification; outside</w:t>
            </w:r>
            <w:r>
              <w:rPr>
                <w:rFonts w:ascii="Arial" w:hAnsi="Arial"/>
                <w:color w:val="1B222C"/>
                <w:sz w:val="18"/>
              </w:rPr>
              <w:t xml:space="preserve"> </w:t>
            </w:r>
            <w:r>
              <w:rPr>
                <w:rFonts w:ascii="Arial" w:hAnsi="Arial"/>
                <w:color w:val="1B222C"/>
                <w:sz w:val="18"/>
              </w:rPr>
              <w:t xml:space="preserve">L1 consensus semantics.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Operational runbooks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Current project line</w:t>
            </w:r>
            <w:r>
              <w:rPr>
                <w:rFonts w:ascii="Arial" w:hAnsi="Arial"/>
                <w:color w:val="1B222C"/>
                <w:sz w:val="18"/>
              </w:rPr>
              <w:t xml:space="preserve"> </w:t>
            </w:r>
            <w:r>
              <w:rPr>
                <w:rFonts w:ascii="Arial" w:hAnsi="Arial"/>
                <w:color w:val="1B222C"/>
                <w:sz w:val="18"/>
              </w:rPr>
              <w:t xml:space="preserve">records P1-04 runbooks</w:t>
            </w:r>
            <w:r>
              <w:rPr>
                <w:rFonts w:ascii="Arial" w:hAnsi="Arial"/>
                <w:color w:val="1B222C"/>
                <w:sz w:val="18"/>
              </w:rPr>
              <w:t xml:space="preserve"> </w:t>
            </w:r>
            <w:r>
              <w:rPr>
                <w:rFonts w:ascii="Arial" w:hAnsi="Arial"/>
                <w:color w:val="1B222C"/>
                <w:sz w:val="18"/>
              </w:rPr>
              <w:t xml:space="preserve">completed/executed.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Operational evidence;</w:t>
            </w:r>
            <w:r>
              <w:rPr>
                <w:rFonts w:ascii="Arial" w:hAnsi="Arial"/>
                <w:color w:val="1B222C"/>
                <w:sz w:val="18"/>
              </w:rPr>
              <w:t xml:space="preserve"> </w:t>
            </w:r>
            <w:r>
              <w:rPr>
                <w:rFonts w:ascii="Arial" w:hAnsi="Arial"/>
                <w:color w:val="1B222C"/>
                <w:sz w:val="18"/>
              </w:rPr>
              <w:t xml:space="preserve">not proof of production</w:t>
            </w:r>
            <w:r>
              <w:rPr>
                <w:rFonts w:ascii="Arial" w:hAnsi="Arial"/>
                <w:color w:val="1B222C"/>
                <w:sz w:val="18"/>
              </w:rPr>
              <w:t xml:space="preserve"> </w:t>
            </w:r>
            <w:r>
              <w:rPr>
                <w:rFonts w:ascii="Arial" w:hAnsi="Arial"/>
                <w:color w:val="1B222C"/>
                <w:sz w:val="18"/>
              </w:rPr>
              <w:t xml:space="preserve">infrastructure.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Independent validators</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Five onboarding</w:t>
            </w:r>
            <w:r>
              <w:rPr>
                <w:rFonts w:ascii="Arial" w:hAnsi="Arial"/>
                <w:color w:val="1B222C"/>
                <w:sz w:val="18"/>
              </w:rPr>
              <w:t xml:space="preserve"> </w:t>
            </w:r>
            <w:r>
              <w:rPr>
                <w:rFonts w:ascii="Arial" w:hAnsi="Arial"/>
                <w:color w:val="1B222C"/>
                <w:sz w:val="18"/>
              </w:rPr>
              <w:t xml:space="preserve">packages ready; 0/5</w:t>
            </w:r>
            <w:r>
              <w:rPr>
                <w:rFonts w:ascii="Arial" w:hAnsi="Arial"/>
                <w:color w:val="1B222C"/>
                <w:sz w:val="18"/>
              </w:rPr>
              <w:t xml:space="preserve"> </w:t>
            </w:r>
            <w:r>
              <w:rPr>
                <w:rFonts w:ascii="Arial" w:hAnsi="Arial"/>
                <w:color w:val="1B222C"/>
                <w:sz w:val="18"/>
              </w:rPr>
              <w:t xml:space="preserve">assigned and 0/5</w:t>
            </w:r>
            <w:r>
              <w:rPr>
                <w:rFonts w:ascii="Arial" w:hAnsi="Arial"/>
                <w:color w:val="1B222C"/>
                <w:sz w:val="18"/>
              </w:rPr>
              <w:t xml:space="preserve"> </w:t>
            </w:r>
            <w:r>
              <w:rPr>
                <w:rFonts w:ascii="Arial" w:hAnsi="Arial"/>
                <w:color w:val="1B222C"/>
                <w:sz w:val="18"/>
              </w:rPr>
              <w:t xml:space="preserve">admitted.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External network</w:t>
            </w:r>
            <w:r>
              <w:rPr>
                <w:rFonts w:ascii="Arial" w:hAnsi="Arial"/>
                <w:color w:val="1B222C"/>
                <w:sz w:val="18"/>
              </w:rPr>
              <w:t xml:space="preserve"> </w:t>
            </w:r>
            <w:r>
              <w:rPr>
                <w:rFonts w:ascii="Arial" w:hAnsi="Arial"/>
                <w:color w:val="1B222C"/>
                <w:sz w:val="18"/>
              </w:rPr>
              <w:t xml:space="preserve">property remains OPEN /</w:t>
            </w:r>
            <w:r>
              <w:rPr>
                <w:rFonts w:ascii="Arial" w:hAnsi="Arial"/>
                <w:color w:val="1B222C"/>
                <w:sz w:val="18"/>
              </w:rPr>
              <w:t xml:space="preserve"> </w:t>
            </w:r>
            <w:r>
              <w:rPr>
                <w:rFonts w:ascii="Arial" w:hAnsi="Arial"/>
                <w:color w:val="1B222C"/>
                <w:sz w:val="18"/>
              </w:rPr>
              <w:t xml:space="preserve">BLOCKED_REAL_INFRA.</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Production HSM /</w:t>
            </w:r>
            <w:r>
              <w:rPr>
                <w:rFonts w:ascii="Arial" w:hAnsi="Arial"/>
                <w:color w:val="1B222C"/>
                <w:sz w:val="18"/>
              </w:rPr>
              <w:t xml:space="preserve"> </w:t>
            </w:r>
            <w:r>
              <w:rPr>
                <w:rFonts w:ascii="Arial" w:hAnsi="Arial"/>
                <w:color w:val="1B222C"/>
                <w:sz w:val="18"/>
              </w:rPr>
              <w:t xml:space="preserve">ceremony</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Dry-run/technical</w:t>
            </w:r>
            <w:r>
              <w:rPr>
                <w:rFonts w:ascii="Arial" w:hAnsi="Arial"/>
                <w:color w:val="1B222C"/>
                <w:sz w:val="18"/>
              </w:rPr>
              <w:t xml:space="preserve"> </w:t>
            </w:r>
            <w:r>
              <w:rPr>
                <w:rFonts w:ascii="Arial" w:hAnsi="Arial"/>
                <w:color w:val="1B222C"/>
                <w:sz w:val="18"/>
              </w:rPr>
              <w:t xml:space="preserve">threshold evidence does</w:t>
            </w:r>
            <w:r>
              <w:rPr>
                <w:rFonts w:ascii="Arial" w:hAnsi="Arial"/>
                <w:color w:val="1B222C"/>
                <w:sz w:val="18"/>
              </w:rPr>
              <w:t xml:space="preserve"> </w:t>
            </w:r>
            <w:r>
              <w:rPr>
                <w:rFonts w:ascii="Arial" w:hAnsi="Arial"/>
                <w:color w:val="1B222C"/>
                <w:sz w:val="18"/>
              </w:rPr>
              <w:t xml:space="preserve">not by itself establish</w:t>
            </w:r>
            <w:r>
              <w:rPr>
                <w:rFonts w:ascii="Arial" w:hAnsi="Arial"/>
                <w:color w:val="1B222C"/>
                <w:sz w:val="18"/>
              </w:rPr>
              <w:t xml:space="preserve"> </w:t>
            </w:r>
            <w:r>
              <w:rPr>
                <w:rFonts w:ascii="Arial" w:hAnsi="Arial"/>
                <w:color w:val="1B222C"/>
                <w:sz w:val="18"/>
              </w:rPr>
              <w:t xml:space="preserve">production-qualified</w:t>
            </w:r>
            <w:r>
              <w:rPr>
                <w:rFonts w:ascii="Arial" w:hAnsi="Arial"/>
                <w:color w:val="1B222C"/>
                <w:sz w:val="18"/>
              </w:rPr>
              <w:t xml:space="preserve"> </w:t>
            </w:r>
            <w:r>
              <w:rPr>
                <w:rFonts w:ascii="Arial" w:hAnsi="Arial"/>
                <w:color w:val="1B222C"/>
                <w:sz w:val="18"/>
              </w:rPr>
              <w:t xml:space="preserve">non-exportable signing.</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8"/>
              </w:rPr>
              <w:t xml:space="preserve">Require live</w:t>
            </w:r>
            <w:r>
              <w:rPr>
                <w:rFonts w:ascii="Arial" w:hAnsi="Arial"/>
                <w:color w:val="1B222C"/>
                <w:sz w:val="18"/>
              </w:rPr>
              <w:t xml:space="preserve"> </w:t>
            </w:r>
            <w:r>
              <w:rPr>
                <w:rFonts w:ascii="Arial" w:hAnsi="Arial"/>
                <w:color w:val="1B222C"/>
                <w:sz w:val="18"/>
              </w:rPr>
              <w:t xml:space="preserve">provider/key evidence</w:t>
            </w:r>
            <w:r>
              <w:rPr>
                <w:rFonts w:ascii="Arial" w:hAnsi="Arial"/>
                <w:color w:val="1B222C"/>
                <w:sz w:val="18"/>
              </w:rPr>
              <w:t xml:space="preserve"> </w:t>
            </w:r>
            <w:r>
              <w:rPr>
                <w:rFonts w:ascii="Arial" w:hAnsi="Arial"/>
                <w:color w:val="1B222C"/>
                <w:sz w:val="18"/>
              </w:rPr>
              <w:t xml:space="preserve">and signed ceremony</w:t>
            </w:r>
            <w:r>
              <w:rPr>
                <w:rFonts w:ascii="Arial" w:hAnsi="Arial"/>
                <w:color w:val="1B222C"/>
                <w:sz w:val="18"/>
              </w:rPr>
              <w:t xml:space="preserve"> </w:t>
            </w:r>
            <w:r>
              <w:rPr>
                <w:rFonts w:ascii="Arial" w:hAnsi="Arial"/>
                <w:color w:val="1B222C"/>
                <w:sz w:val="18"/>
              </w:rPr>
              <w:t xml:space="preserve">artifacts for closure.</w:t>
            </w:r>
          </w:p>
        </w:tc>
      </w:tr>
    </w:tbl>
    <w:p>
      <w:pPr>
        <w:pStyle w:val="BodyText"/>
        <w:keepLines/>
        <w:widowControl/>
        <w:spacing w:after="100" w:before="0" w:line="264" w:lineRule="auto"/>
      </w:pPr>
      <w:r>
        <w:rPr>
          <w:b/>
          <w:bCs/>
        </w:rPr>
        <w:t xml:space="preserve">Audit note:</w:t>
      </w:r>
      <w:r>
        <w:t xml:space="preserve"> </w:t>
      </w:r>
      <w:r>
        <w:t xml:space="preserve">Only evidence-backed states are represented as complete.</w:t>
      </w:r>
      <w:r>
        <w:t xml:space="preserve"> </w:t>
      </w:r>
      <w:r>
        <w:t xml:space="preserve">Prepared packages, internal rehearsals and technical prechecks are not</w:t>
      </w:r>
      <w:r>
        <w:t xml:space="preserve"> </w:t>
      </w:r>
      <w:r>
        <w:t xml:space="preserve">treated as substitutes for independent real-world execution.</w:t>
      </w:r>
    </w:p>
    <w:bookmarkEnd w:id="56"/>
    <w:bookmarkStart w:id="57" w:name="X72dbf51ca2a259c1c6e3c82c02bccd2e83fa876"/>
    <w:p>
      <w:pPr>
        <w:pStyle w:val="Heading1"/>
        <w:keepNext/>
        <w:keepLines/>
        <w:pageBreakBefore/>
        <w:widowControl/>
        <w:pBdr>
          <w:bottom w:val="single" w:sz="14" w:space="4" w:color="2E6FD8"/>
        </w:pBdr>
      </w:pPr>
      <w:r>
        <w:t xml:space="preserve">Appendix D - Audit Reproducibility Requirements</w:t>
      </w:r>
    </w:p>
    <w:p>
      <w:pPr>
        <w:keepLines/>
        <w:widowControl/>
        <w:numPr>
          <w:ilvl w:val="0"/>
          <w:numId w:val="1009"/>
        </w:numPr>
        <w:spacing w:after="100" w:before="0" w:line="264" w:lineRule="auto"/>
      </w:pPr>
      <w:r>
        <w:t xml:space="preserve">Verify the v3.7.5 genesis bytes and recompute the published genesis</w:t>
      </w:r>
      <w:r>
        <w:t xml:space="preserve"> </w:t>
      </w:r>
      <w:r>
        <w:t xml:space="preserve">hash and Chain ID.</w:t>
      </w:r>
    </w:p>
    <w:p>
      <w:pPr>
        <w:keepLines/>
        <w:widowControl/>
        <w:numPr>
          <w:ilvl w:val="0"/>
          <w:numId w:val="1009"/>
        </w:numPr>
        <w:spacing w:after="100" w:before="0" w:line="264" w:lineRule="auto"/>
      </w:pPr>
      <w:r>
        <w:t xml:space="preserve">Re-run the canonicalization parity vectors across the qualified</w:t>
      </w:r>
      <w:r>
        <w:t xml:space="preserve"> </w:t>
      </w:r>
      <w:r>
        <w:t xml:space="preserve">Python, JavaScript and Go implementations.</w:t>
      </w:r>
    </w:p>
    <w:p>
      <w:pPr>
        <w:keepLines/>
        <w:widowControl/>
        <w:numPr>
          <w:ilvl w:val="0"/>
          <w:numId w:val="1009"/>
        </w:numPr>
        <w:spacing w:after="100" w:before="0" w:line="264" w:lineRule="auto"/>
      </w:pPr>
      <w:r>
        <w:t xml:space="preserve">Re-run supply, state-root, persistence and validator-quorum</w:t>
      </w:r>
      <w:r>
        <w:t xml:space="preserve"> </w:t>
      </w:r>
      <w:r>
        <w:t xml:space="preserve">invariants against the frozen artifact set.</w:t>
      </w:r>
    </w:p>
    <w:p>
      <w:pPr>
        <w:keepLines/>
        <w:widowControl/>
        <w:numPr>
          <w:ilvl w:val="0"/>
          <w:numId w:val="1009"/>
        </w:numPr>
        <w:spacing w:after="100" w:before="0" w:line="264" w:lineRule="auto"/>
      </w:pPr>
      <w:r>
        <w:t xml:space="preserve">Verify that validator quorum remains validator-count based and that</w:t>
      </w:r>
      <w:r>
        <w:t xml:space="preserve"> </w:t>
      </w:r>
      <w:r>
        <w:t xml:space="preserve">staking economics are not silently interpreted as consensus voting</w:t>
      </w:r>
      <w:r>
        <w:t xml:space="preserve"> </w:t>
      </w:r>
      <w:r>
        <w:t xml:space="preserve">weight.</w:t>
      </w:r>
    </w:p>
    <w:p>
      <w:pPr>
        <w:keepLines/>
        <w:widowControl/>
        <w:numPr>
          <w:ilvl w:val="0"/>
          <w:numId w:val="1009"/>
        </w:numPr>
        <w:spacing w:after="100" w:before="0" w:line="264" w:lineRule="auto"/>
      </w:pPr>
      <w:r>
        <w:t xml:space="preserve">Verify exact 4-of-7 treasury policy from canonical genesis/policy</w:t>
      </w:r>
      <w:r>
        <w:t xml:space="preserve"> </w:t>
      </w:r>
      <w:r>
        <w:t xml:space="preserve">artifacts.</w:t>
      </w:r>
    </w:p>
    <w:p>
      <w:pPr>
        <w:keepLines/>
        <w:widowControl/>
        <w:numPr>
          <w:ilvl w:val="0"/>
          <w:numId w:val="1009"/>
        </w:numPr>
        <w:spacing w:after="100" w:before="0" w:line="264" w:lineRule="auto"/>
      </w:pPr>
      <w:r>
        <w:t xml:space="preserve">Verify document claims against named evidence artifacts; operational</w:t>
      </w:r>
      <w:r>
        <w:t xml:space="preserve"> </w:t>
      </w:r>
      <w:r>
        <w:t xml:space="preserve">REAL_INFRA gates must not be closed by synthetic data, templates or</w:t>
      </w:r>
      <w:r>
        <w:t xml:space="preserve"> </w:t>
      </w:r>
      <w:r>
        <w:t xml:space="preserve">examples.</w:t>
      </w:r>
    </w:p>
    <w:p>
      <w:pPr>
        <w:keepLines/>
        <w:widowControl/>
        <w:numPr>
          <w:ilvl w:val="0"/>
          <w:numId w:val="1009"/>
        </w:numPr>
        <w:spacing w:after="100" w:before="0" w:line="264" w:lineRule="auto"/>
      </w:pPr>
      <w:r>
        <w:t xml:space="preserve">Generate final DOCX/PDF SHA-256 values only after formatting freeze</w:t>
      </w:r>
      <w:r>
        <w:t xml:space="preserve"> </w:t>
      </w:r>
      <w:r>
        <w:t xml:space="preserve">and record them in the audit handoff manifest.</w:t>
      </w:r>
    </w:p>
    <w:p>
      <w:pPr>
        <w:keepLines/>
        <w:widowControl/>
        <w:numPr>
          <w:ilvl w:val="0"/>
          <w:numId w:val="1009"/>
        </w:numPr>
        <w:spacing w:after="100" w:before="0" w:line="264" w:lineRule="auto"/>
      </w:pPr>
      <w:r>
        <w:t>Re-audit v2.4 reward-funding/APR function and verify that reward payments cannot exceed funded AccountState balances.</w:t>
      </w:r>
      <w:r/>
      <w:r/>
    </w:p>
    <w:p>
      <w:pPr>
        <w:keepLines/>
        <w:widowControl/>
        <w:numPr>
          <w:ilvl w:val="0"/>
          <w:numId w:val="1009"/>
        </w:numPr>
        <w:spacing w:after="100" w:before="0" w:line="264" w:lineRule="auto"/>
      </w:pPr>
      <w:r>
        <w:t>Verify canonical enforcement for Core Team vesting and the completed slashing/jail policy before treating those v2.4 launch-policy statements as active protocol behavior.</w:t>
      </w:r>
      <w:r/>
      <w:r/>
      <w:r/>
      <w:r/>
    </w:p>
    <w:p>
      <w:pPr>
        <w:keepLines/>
        <w:widowControl/>
        <w:numPr>
          <w:ilvl w:val="0"/>
          <w:numId w:val="1009"/>
        </w:numPr>
        <w:spacing w:after="100" w:before="0" w:line="264" w:lineRule="auto"/>
      </w:pPr>
      <w:r>
        <w:t xml:space="preserve">Extract and cite exact unbonding, treasury timelock/annual cap,</w:t>
      </w:r>
      <w:r>
        <w:t xml:space="preserve"> </w:t>
      </w:r>
      <w:r>
        <w:t xml:space="preserve">fee/resource-limit, user-account derivation and liveness mechanism</w:t>
      </w:r>
      <w:r>
        <w:t xml:space="preserve"> </w:t>
      </w:r>
      <w:r>
        <w:t xml:space="preserve">parameters from canonical evidence.</w:t>
      </w:r>
    </w:p>
    <w:p>
      <w:pPr>
        <w:keepLines/>
        <w:widowControl/>
        <w:numPr>
          <w:ilvl w:val="0"/>
          <w:numId w:val="1009"/>
        </w:numPr>
        <w:spacing w:after="100" w:before="0" w:line="264" w:lineRule="auto"/>
      </w:pPr>
      <w:r>
        <w:t xml:space="preserve">Do not describe v3.7.5 as post-quantum secure; any future</w:t>
      </w:r>
      <w:r>
        <w:t xml:space="preserve"> </w:t>
      </w:r>
      <w:r>
        <w:t xml:space="preserve">cryptographic migration requires explicit protocol versioning and</w:t>
      </w:r>
      <w:r>
        <w:t xml:space="preserve"> </w:t>
      </w:r>
      <w:r>
        <w:t xml:space="preserve">renewed audit vectors.</w:t>
      </w:r>
    </w:p>
    <w:bookmarkEnd w:id="57"/>
    <w:bookmarkStart w:id="58" w:name="Xc528ffad6bbf51cfdd57c201519a744eeac2809"/>
    <w:p>
      <w:pPr>
        <w:pStyle w:val="Heading1"/>
        <w:keepNext/>
        <w:keepLines/>
        <w:pageBreakBefore/>
        <w:widowControl/>
        <w:pBdr>
          <w:bottom w:val="single" w:sz="14" w:space="4" w:color="2E6FD8"/>
        </w:pBdr>
      </w:pPr>
      <w:r>
        <w:t>Appendix E - v2.4 Audit &amp; Re-Audit Closure Matrix</w:t>
      </w:r>
    </w:p>
    <w:p>
      <w:pPr>
        <w:pStyle w:val="FirstParagraph"/>
        <w:keepLines/>
        <w:widowControl/>
        <w:spacing w:after="100" w:before="0" w:line="264" w:lineRule="auto"/>
      </w:pPr>
      <w:r>
        <w:t>This appendix maps the external v2.2 audit findings and the v2.3 re-audit findings to the v2.4 publication-candidate state. CLOSED_DOC means the ambiguity or policy omission is resolved in the documents. IMPLEMENTATION_EVIDENCE_REQUIRED means the policy is now explicit but MUST NOT be represented as enforced until canonical configuration/code evidence and tests confirm it. CANONICAL_EXTRACTION_REQUIRED means the document intentionally refuses to invent a frozen-runtime value that was not recovered from the evidence set.</w:t>
      </w:r>
    </w:p>
    <w:tbl>
      <w:tblPr>
        <w:tblStyle w:val="Table"/>
        <w:tblW w:type="pct" w:w="4908"/>
        <w:jc w:val="start"/>
        <w:tblBorders>
          <w:top w:val="single" w:sz="4" w:color="D9E1EC"/>
          <w:left w:val="single" w:sz="4" w:color="D9E1EC"/>
          <w:bottom w:val="single" w:sz="4" w:color="D9E1EC"/>
          <w:right w:val="single" w:sz="4" w:color="D9E1EC"/>
          <w:insideH w:val="single" w:sz="4" w:color="D9E1EC"/>
          <w:insideV w:val="single" w:sz="4" w:color="D9E1EC"/>
        </w:tblBorders>
        <w:tblLayout w:type="fixed"/>
        <w:tblCellMar>
          <w:top w:w="70" w:type="dxa"/>
          <w:left w:w="110" w:type="dxa"/>
          <w:bottom w:w="70" w:type="dxa"/>
          <w:right w:w="110" w:type="dxa"/>
        </w:tblCellMar>
        <w:tblLook w:firstRow="1" w:lastRow="0" w:firstColumn="0" w:lastColumn="0" w:noHBand="0" w:noVBand="0" w:val="0020"/>
      </w:tblPr>
      <w:tblGrid>
        <w:gridCol w:w="1380"/>
        <w:gridCol w:w="2543"/>
        <w:gridCol w:w="1816"/>
        <w:gridCol w:w="2034"/>
      </w:tblGrid>
      <w:tr>
        <w:trPr>
          <w:tblHeader w:val="true"/>
          <w:cantSplit/>
        </w:trPr>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ID</w:t>
            </w:r>
          </w:p>
        </w:tc>
        <w:tc>
          <w:tcPr>
            <w:shd w:val="clear" w:fill="0E2036"/>
            <w:vAlign w:val="center"/>
            <w:tcMar>
              <w:top w:w="60" w:type="dxa"/>
              <w:start w:w="80" w:type="dxa"/>
              <w:bottom w:w="60" w:type="dxa"/>
              <w:end w:w="80" w:type="dxa"/>
            </w:tcMar>
          </w:tcPr>
          <w:p>
            <w:pPr>
              <w:keepLines/>
              <w:widowControl/>
              <w:spacing w:before="0" w:after="0" w:line="240" w:lineRule="auto"/>
            </w:pPr>
            <w:r>
              <w:rPr>
                <w:rFonts w:ascii="Arial" w:hAnsi="Arial"/>
                <w:b/>
                <w:color w:val="FFFFFF"/>
                <w:sz w:val="17"/>
              </w:rPr>
              <w:t>v2.4 status</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Remediation</w:t>
            </w:r>
          </w:p>
        </w:tc>
        <w:tc>
          <w:tcPr>
            <w:shd w:val="clear" w:fill="0E2036"/>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b/>
                <w:bCs/>
                <w:color w:val="FFFFFF"/>
                <w:sz w:val="17"/>
              </w:rPr>
              <w:t xml:space="preserve">Required next evidence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PAP-H1</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Non-inflationary fee-first reward funding, target function and policy-consistent funding-horizon math added.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Bind launch policy to</w:t>
            </w:r>
            <w:r>
              <w:rPr>
                <w:rFonts w:ascii="Arial" w:hAnsi="Arial"/>
                <w:color w:val="1B222C"/>
                <w:sz w:val="17"/>
              </w:rPr>
              <w:t xml:space="preserve"> </w:t>
            </w:r>
            <w:r>
              <w:rPr>
                <w:rFonts w:ascii="Arial" w:hAnsi="Arial"/>
                <w:color w:val="1B222C"/>
                <w:sz w:val="17"/>
              </w:rPr>
              <w:t xml:space="preserve">canonical reward</w:t>
            </w:r>
            <w:r>
              <w:rPr>
                <w:rFonts w:ascii="Arial" w:hAnsi="Arial"/>
                <w:color w:val="1B222C"/>
                <w:sz w:val="17"/>
              </w:rPr>
              <w:t xml:space="preserve"> </w:t>
            </w:r>
            <w:r>
              <w:rPr>
                <w:rFonts w:ascii="Arial" w:hAnsi="Arial"/>
                <w:color w:val="1B222C"/>
                <w:sz w:val="17"/>
              </w:rPr>
              <w:t xml:space="preserve">accounts/config and tests.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PAP-H2</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Founder no-lock status</w:t>
            </w:r>
            <w:r>
              <w:rPr>
                <w:rFonts w:ascii="Arial" w:hAnsi="Arial"/>
                <w:color w:val="1B222C"/>
                <w:sz w:val="17"/>
              </w:rPr>
              <w:t xml:space="preserve"> </w:t>
            </w:r>
            <w:r>
              <w:rPr>
                <w:rFonts w:ascii="Arial" w:hAnsi="Arial"/>
                <w:color w:val="1B222C"/>
                <w:sz w:val="17"/>
              </w:rPr>
              <w:t xml:space="preserve">disclosed; Core Team</w:t>
            </w:r>
            <w:r>
              <w:rPr>
                <w:rFonts w:ascii="Arial" w:hAnsi="Arial"/>
                <w:color w:val="1B222C"/>
                <w:sz w:val="17"/>
              </w:rPr>
              <w:t xml:space="preserve"> </w:t>
            </w:r>
            <w:r>
              <w:rPr>
                <w:rFonts w:ascii="Arial" w:hAnsi="Arial"/>
                <w:color w:val="1B222C"/>
                <w:sz w:val="17"/>
              </w:rPr>
              <w:t xml:space="preserve">48m/12m-cliff policy</w:t>
            </w:r>
            <w:r>
              <w:rPr>
                <w:rFonts w:ascii="Arial" w:hAnsi="Arial"/>
                <w:color w:val="1B222C"/>
                <w:sz w:val="17"/>
              </w:rPr>
              <w:t xml:space="preserve"> </w:t>
            </w:r>
            <w:r>
              <w:rPr>
                <w:rFonts w:ascii="Arial" w:hAnsi="Arial"/>
                <w:color w:val="1B222C"/>
                <w:sz w:val="17"/>
              </w:rPr>
              <w:t xml:space="preserve">defined.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Prove Core Team vault/grant</w:t>
            </w:r>
            <w:r>
              <w:rPr>
                <w:rFonts w:ascii="Arial" w:hAnsi="Arial"/>
                <w:color w:val="1B222C"/>
                <w:sz w:val="17"/>
              </w:rPr>
              <w:t xml:space="preserve"> </w:t>
            </w:r>
            <w:r>
              <w:rPr>
                <w:rFonts w:ascii="Arial" w:hAnsi="Arial"/>
                <w:color w:val="1B222C"/>
                <w:sz w:val="17"/>
              </w:rPr>
              <w:t xml:space="preserve">enforcement.</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PAP-H3</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w:t>
            </w:r>
            <w:r>
              <w:rPr>
                <w:rFonts w:ascii="Arial" w:hAnsi="Arial"/>
                <w:color w:val="1B222C"/>
                <w:sz w:val="17"/>
              </w:rPr>
              <w:t xml:space="preserve"> </w:t>
            </w:r>
            <w:r>
              <w:rPr>
                <w:rFonts w:ascii="Arial" w:hAnsi="Arial"/>
                <w:color w:val="1B222C"/>
                <w:sz w:val="17"/>
              </w:rPr>
              <w:t xml:space="preserve">IMPLEMENTATION_EVIDENCE_REQUIRED</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Count-based tiers complete through &gt;=1/3; slash-principal basis, max() rule, burn and jail/unjail semantics defined.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Conformance-test</w:t>
            </w:r>
            <w:r>
              <w:rPr>
                <w:rFonts w:ascii="Arial" w:hAnsi="Arial"/>
                <w:color w:val="1B222C"/>
                <w:sz w:val="17"/>
              </w:rPr>
              <w:t xml:space="preserve"> </w:t>
            </w:r>
            <w:r>
              <w:rPr>
                <w:rFonts w:ascii="Arial" w:hAnsi="Arial"/>
                <w:color w:val="1B222C"/>
                <w:sz w:val="17"/>
              </w:rPr>
              <w:t xml:space="preserve">implementation.</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OPEN_CANONICAL_EXTRACTION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No guessed</w:t>
            </w:r>
            <w:r>
              <w:rPr>
                <w:rFonts w:ascii="Arial" w:hAnsi="Arial"/>
                <w:color w:val="1B222C"/>
                <w:sz w:val="17"/>
              </w:rPr>
              <w:t xml:space="preserve"> </w:t>
            </w:r>
            <w:r>
              <w:rPr>
                <w:rFonts w:ascii="Arial" w:hAnsi="Arial"/>
                <w:color w:val="1B222C"/>
                <w:sz w:val="17"/>
              </w:rPr>
              <w:t xml:space="preserve">unbonding/timelock/cap</w:t>
            </w:r>
            <w:r>
              <w:rPr>
                <w:rFonts w:ascii="Arial" w:hAnsi="Arial"/>
                <w:color w:val="1B222C"/>
                <w:sz w:val="17"/>
              </w:rPr>
              <w:t xml:space="preserve"> </w:t>
            </w:r>
            <w:r>
              <w:rPr>
                <w:rFonts w:ascii="Arial" w:hAnsi="Arial"/>
                <w:color w:val="1B222C"/>
                <w:sz w:val="17"/>
              </w:rPr>
              <w:t xml:space="preserve">values.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Extract exact values and</w:t>
            </w:r>
            <w:r>
              <w:rPr>
                <w:rFonts w:ascii="Arial" w:hAnsi="Arial"/>
                <w:color w:val="1B222C"/>
                <w:sz w:val="17"/>
              </w:rPr>
              <w:t xml:space="preserve"> </w:t>
            </w:r>
            <w:r>
              <w:rPr>
                <w:rFonts w:ascii="Arial" w:hAnsi="Arial"/>
                <w:color w:val="1B222C"/>
                <w:sz w:val="17"/>
              </w:rPr>
              <w:t xml:space="preserve">artifact hashes.</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PAP-M2</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Controlled admission</w:t>
            </w:r>
            <w:r>
              <w:rPr>
                <w:rFonts w:ascii="Arial" w:hAnsi="Arial"/>
                <w:color w:val="1B222C"/>
                <w:sz w:val="17"/>
              </w:rPr>
              <w:t xml:space="preserve"> </w:t>
            </w:r>
            <w:r>
              <w:rPr>
                <w:rFonts w:ascii="Arial" w:hAnsi="Arial"/>
                <w:color w:val="1B222C"/>
                <w:sz w:val="17"/>
              </w:rPr>
              <w:t xml:space="preserve">identified as Sybil</w:t>
            </w:r>
            <w:r>
              <w:rPr>
                <w:rFonts w:ascii="Arial" w:hAnsi="Arial"/>
                <w:color w:val="1B222C"/>
                <w:sz w:val="17"/>
              </w:rPr>
              <w:t xml:space="preserve"> </w:t>
            </w:r>
            <w:r>
              <w:rPr>
                <w:rFonts w:ascii="Arial" w:hAnsi="Arial"/>
                <w:color w:val="1B222C"/>
                <w:sz w:val="17"/>
              </w:rPr>
              <w:t xml:space="preserve">boundary for count-based</w:t>
            </w:r>
            <w:r>
              <w:rPr>
                <w:rFonts w:ascii="Arial" w:hAnsi="Arial"/>
                <w:color w:val="1B222C"/>
                <w:sz w:val="17"/>
              </w:rPr>
              <w:t xml:space="preserve"> </w:t>
            </w:r>
            <w:r>
              <w:rPr>
                <w:rFonts w:ascii="Arial" w:hAnsi="Arial"/>
                <w:color w:val="1B222C"/>
                <w:sz w:val="17"/>
              </w:rPr>
              <w:t xml:space="preserve">quorum.</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Verify P0-06 admission</w:t>
            </w:r>
            <w:r>
              <w:rPr>
                <w:rFonts w:ascii="Arial" w:hAnsi="Arial"/>
                <w:color w:val="1B222C"/>
                <w:sz w:val="17"/>
              </w:rPr>
              <w:t xml:space="preserve"> </w:t>
            </w:r>
            <w:r>
              <w:rPr>
                <w:rFonts w:ascii="Arial" w:hAnsi="Arial"/>
                <w:color w:val="1B222C"/>
                <w:sz w:val="17"/>
              </w:rPr>
              <w:t xml:space="preserve">controls.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PAP-M3</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 / CANONICAL_EXTRACTION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Safety-vs-liveness</w:t>
            </w:r>
            <w:r>
              <w:rPr>
                <w:rFonts w:ascii="Arial" w:hAnsi="Arial"/>
                <w:color w:val="1B222C"/>
                <w:sz w:val="17"/>
              </w:rPr>
              <w:t xml:space="preserve"> </w:t>
            </w:r>
            <w:r>
              <w:rPr>
                <w:rFonts w:ascii="Arial" w:hAnsi="Arial"/>
                <w:color w:val="1B222C"/>
                <w:sz w:val="17"/>
              </w:rPr>
              <w:t xml:space="preserve">limitation explicit.</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Name exact v3.7.5</w:t>
            </w:r>
            <w:r>
              <w:rPr>
                <w:rFonts w:ascii="Arial" w:hAnsi="Arial"/>
                <w:color w:val="1B222C"/>
                <w:sz w:val="17"/>
              </w:rPr>
              <w:t xml:space="preserve"> </w:t>
            </w:r>
            <w:r>
              <w:rPr>
                <w:rFonts w:ascii="Arial" w:hAnsi="Arial"/>
                <w:color w:val="1B222C"/>
                <w:sz w:val="17"/>
              </w:rPr>
              <w:t xml:space="preserve">scheduling/view-change</w:t>
            </w:r>
            <w:r>
              <w:rPr>
                <w:rFonts w:ascii="Arial" w:hAnsi="Arial"/>
                <w:color w:val="1B222C"/>
                <w:sz w:val="17"/>
              </w:rPr>
              <w:t xml:space="preserve"> </w:t>
            </w:r>
            <w:r>
              <w:rPr>
                <w:rFonts w:ascii="Arial" w:hAnsi="Arial"/>
                <w:color w:val="1B222C"/>
                <w:sz w:val="17"/>
              </w:rPr>
              <w:t xml:space="preserve">behavior.</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PAP-M4</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OPEN_CANONICAL_EXTRACTION</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No fabricated</w:t>
            </w:r>
            <w:r>
              <w:rPr>
                <w:rFonts w:ascii="Arial" w:hAnsi="Arial"/>
                <w:color w:val="1B222C"/>
                <w:sz w:val="17"/>
              </w:rPr>
              <w:t xml:space="preserve"> </w:t>
            </w:r>
            <w:r>
              <w:rPr>
                <w:rFonts w:ascii="Arial" w:hAnsi="Arial"/>
                <w:color w:val="1B222C"/>
                <w:sz w:val="17"/>
              </w:rPr>
              <w:t xml:space="preserve">TPS/block/network</w:t>
            </w:r>
            <w:r>
              <w:rPr>
                <w:rFonts w:ascii="Arial" w:hAnsi="Arial"/>
                <w:color w:val="1B222C"/>
                <w:sz w:val="17"/>
              </w:rPr>
              <w:t xml:space="preserve"> </w:t>
            </w:r>
            <w:r>
              <w:rPr>
                <w:rFonts w:ascii="Arial" w:hAnsi="Arial"/>
                <w:color w:val="1B222C"/>
                <w:sz w:val="17"/>
              </w:rPr>
              <w:t xml:space="preserve">limits.</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Add canonical</w:t>
            </w:r>
            <w:r>
              <w:rPr>
                <w:rFonts w:ascii="Arial" w:hAnsi="Arial"/>
                <w:color w:val="1B222C"/>
                <w:sz w:val="17"/>
              </w:rPr>
              <w:t xml:space="preserve"> </w:t>
            </w:r>
            <w:r>
              <w:rPr>
                <w:rFonts w:ascii="Arial" w:hAnsi="Arial"/>
                <w:color w:val="1B222C"/>
                <w:sz w:val="17"/>
              </w:rPr>
              <w:t xml:space="preserve">block/tx/resource/network</w:t>
            </w:r>
            <w:r>
              <w:rPr>
                <w:rFonts w:ascii="Arial" w:hAnsi="Arial"/>
                <w:color w:val="1B222C"/>
                <w:sz w:val="17"/>
              </w:rPr>
              <w:t xml:space="preserve"> </w:t>
            </w:r>
            <w:r>
              <w:rPr>
                <w:rFonts w:ascii="Arial" w:hAnsi="Arial"/>
                <w:color w:val="1B222C"/>
                <w:sz w:val="17"/>
              </w:rPr>
              <w:t xml:space="preserve">parameters.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PAP-M5</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 / CANONICAL_EXTRACTION</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Fee-to-reward</w:t>
            </w:r>
            <w:r>
              <w:rPr>
                <w:rFonts w:ascii="Arial" w:hAnsi="Arial"/>
                <w:color w:val="1B222C"/>
                <w:sz w:val="17"/>
              </w:rPr>
              <w:t xml:space="preserve"> </w:t>
            </w:r>
            <w:r>
              <w:rPr>
                <w:rFonts w:ascii="Arial" w:hAnsi="Arial"/>
                <w:color w:val="1B222C"/>
                <w:sz w:val="17"/>
              </w:rPr>
              <w:t xml:space="preserve">relationship and</w:t>
            </w:r>
            <w:r>
              <w:rPr>
                <w:rFonts w:ascii="Arial" w:hAnsi="Arial"/>
                <w:color w:val="1B222C"/>
                <w:sz w:val="17"/>
              </w:rPr>
              <w:t xml:space="preserve"> </w:t>
            </w:r>
            <w:r>
              <w:rPr>
                <w:rFonts w:ascii="Arial" w:hAnsi="Arial"/>
                <w:color w:val="1B222C"/>
                <w:sz w:val="17"/>
              </w:rPr>
              <w:t xml:space="preserve">gross-APR/commission</w:t>
            </w:r>
            <w:r>
              <w:rPr>
                <w:rFonts w:ascii="Arial" w:hAnsi="Arial"/>
                <w:color w:val="1B222C"/>
                <w:sz w:val="17"/>
              </w:rPr>
              <w:t xml:space="preserve"> </w:t>
            </w:r>
            <w:r>
              <w:rPr>
                <w:rFonts w:ascii="Arial" w:hAnsi="Arial"/>
                <w:color w:val="1B222C"/>
                <w:sz w:val="17"/>
              </w:rPr>
              <w:t xml:space="preserve">distinction defined.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Extract fee</w:t>
            </w:r>
            <w:r>
              <w:rPr>
                <w:rFonts w:ascii="Arial" w:hAnsi="Arial"/>
                <w:color w:val="1B222C"/>
                <w:sz w:val="17"/>
              </w:rPr>
              <w:t xml:space="preserve"> </w:t>
            </w:r>
            <w:r>
              <w:rPr>
                <w:rFonts w:ascii="Arial" w:hAnsi="Arial"/>
                <w:color w:val="1B222C"/>
                <w:sz w:val="17"/>
              </w:rPr>
              <w:t xml:space="preserve">assessment/minimum and any</w:t>
            </w:r>
            <w:r>
              <w:rPr>
                <w:rFonts w:ascii="Arial" w:hAnsi="Arial"/>
                <w:color w:val="1B222C"/>
                <w:sz w:val="17"/>
              </w:rPr>
              <w:t xml:space="preserve"> </w:t>
            </w:r>
            <w:r>
              <w:rPr>
                <w:rFonts w:ascii="Arial" w:hAnsi="Arial"/>
                <w:color w:val="1B222C"/>
                <w:sz w:val="17"/>
              </w:rPr>
              <w:t xml:space="preserve">commission bounds.</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PAP-M6</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OPEN_CANONICAL_EXTRACTION</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Wallet address objects</w:t>
            </w:r>
            <w:r>
              <w:rPr>
                <w:rFonts w:ascii="Arial" w:hAnsi="Arial"/>
                <w:color w:val="1B222C"/>
                <w:sz w:val="17"/>
              </w:rPr>
              <w:t xml:space="preserve"> </w:t>
            </w:r>
            <w:r>
              <w:rPr>
                <w:rFonts w:ascii="Arial" w:hAnsi="Arial"/>
                <w:color w:val="1B222C"/>
                <w:sz w:val="17"/>
              </w:rPr>
              <w:t xml:space="preserve">explicitly not</w:t>
            </w:r>
            <w:r>
              <w:rPr>
                <w:rFonts w:ascii="Arial" w:hAnsi="Arial"/>
                <w:color w:val="1B222C"/>
                <w:sz w:val="17"/>
              </w:rPr>
              <w:t xml:space="preserve"> </w:t>
            </w:r>
            <w:r>
              <w:rPr>
                <w:rFonts w:ascii="Arial" w:hAnsi="Arial"/>
                <w:color w:val="1B222C"/>
                <w:sz w:val="17"/>
              </w:rPr>
              <w:t xml:space="preserve">substituted for L1</w:t>
            </w:r>
            <w:r>
              <w:rPr>
                <w:rFonts w:ascii="Arial" w:hAnsi="Arial"/>
                <w:color w:val="1B222C"/>
                <w:sz w:val="17"/>
              </w:rPr>
              <w:t xml:space="preserve"> </w:t>
            </w:r>
            <w:r>
              <w:rPr>
                <w:rFonts w:ascii="Arial" w:hAnsi="Arial"/>
                <w:color w:val="1B222C"/>
                <w:sz w:val="17"/>
              </w:rPr>
              <w:t xml:space="preserve">account derivation.</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Publish exact L1</w:t>
            </w:r>
            <w:r>
              <w:rPr>
                <w:rFonts w:ascii="Arial" w:hAnsi="Arial"/>
                <w:color w:val="1B222C"/>
                <w:sz w:val="17"/>
              </w:rPr>
              <w:t xml:space="preserve"> </w:t>
            </w:r>
            <w:r>
              <w:rPr>
                <w:rFonts w:ascii="Arial" w:hAnsi="Arial"/>
                <w:color w:val="1B222C"/>
                <w:sz w:val="17"/>
              </w:rPr>
              <w:t xml:space="preserve">public-key/account formula</w:t>
            </w:r>
            <w:r>
              <w:rPr>
                <w:rFonts w:ascii="Arial" w:hAnsi="Arial"/>
                <w:color w:val="1B222C"/>
                <w:sz w:val="17"/>
              </w:rPr>
              <w:t xml:space="preserve"> </w:t>
            </w:r>
            <w:r>
              <w:rPr>
                <w:rFonts w:ascii="Arial" w:hAnsi="Arial"/>
                <w:color w:val="1B222C"/>
                <w:sz w:val="17"/>
              </w:rPr>
              <w:t xml:space="preserve">and vectors.</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PAP-M7</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Long-range/history,</w:t>
            </w:r>
            <w:r>
              <w:rPr>
                <w:rFonts w:ascii="Arial" w:hAnsi="Arial"/>
                <w:color w:val="1B222C"/>
                <w:sz w:val="17"/>
              </w:rPr>
              <w:t xml:space="preserve"> </w:t>
            </w:r>
            <w:r>
              <w:rPr>
                <w:rFonts w:ascii="Arial" w:hAnsi="Arial"/>
                <w:color w:val="1B222C"/>
                <w:sz w:val="17"/>
              </w:rPr>
              <w:t xml:space="preserve">eclipse, partition and</w:t>
            </w:r>
            <w:r>
              <w:rPr>
                <w:rFonts w:ascii="Arial" w:hAnsi="Arial"/>
                <w:color w:val="1B222C"/>
                <w:sz w:val="17"/>
              </w:rPr>
              <w:t xml:space="preserve"> </w:t>
            </w:r>
            <w:r>
              <w:rPr>
                <w:rFonts w:ascii="Arial" w:hAnsi="Arial"/>
                <w:color w:val="1B222C"/>
                <w:sz w:val="17"/>
              </w:rPr>
              <w:t xml:space="preserve">DoS included with</w:t>
            </w:r>
            <w:r>
              <w:rPr>
                <w:rFonts w:ascii="Arial" w:hAnsi="Arial"/>
                <w:color w:val="1B222C"/>
                <w:sz w:val="17"/>
              </w:rPr>
              <w:t xml:space="preserve"> </w:t>
            </w:r>
            <w:r>
              <w:rPr>
                <w:rFonts w:ascii="Arial" w:hAnsi="Arial"/>
                <w:color w:val="1B222C"/>
                <w:sz w:val="17"/>
              </w:rPr>
              <w:t xml:space="preserve">bounded mitigations.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Operational evidence</w:t>
            </w:r>
            <w:r>
              <w:rPr>
                <w:rFonts w:ascii="Arial" w:hAnsi="Arial"/>
                <w:color w:val="1B222C"/>
                <w:sz w:val="17"/>
              </w:rPr>
              <w:t xml:space="preserve"> </w:t>
            </w:r>
            <w:r>
              <w:rPr>
                <w:rFonts w:ascii="Arial" w:hAnsi="Arial"/>
                <w:color w:val="1B222C"/>
                <w:sz w:val="17"/>
              </w:rPr>
              <w:t xml:space="preserve">remains separate.</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PAP-M8</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vAlign w:val="center"/>
            <w:tcMar>
              <w:top w:w="60" w:type="dxa"/>
              <w:start w:w="80" w:type="dxa"/>
              <w:bottom w:w="60" w:type="dxa"/>
              <w:end w:w="80" w:type="dxa"/>
            </w:tcMar>
          </w:tcPr>
          <w:p>
            <w:pPr>
              <w:keepLines/>
              <w:widowControl/>
              <w:spacing w:before="0" w:after="0" w:line="240" w:lineRule="auto"/>
            </w:pPr>
            <w:r>
              <w:rPr>
                <w:rFonts w:ascii="Arial" w:hAnsi="Arial"/>
                <w:sz w:val="17"/>
              </w:rPr>
              <w:t>Explicit no-PQ-security claim for SHA-256/Ed25519 v3.7.5; migration design note adds plausible successor suites and versioned transition concept.</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Align external marketing.</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PAP-M9</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Reorg/orphan terminology</w:t>
            </w:r>
            <w:r>
              <w:rPr>
                <w:rFonts w:ascii="Arial" w:hAnsi="Arial"/>
                <w:color w:val="1B222C"/>
                <w:sz w:val="17"/>
              </w:rPr>
              <w:t xml:space="preserve"> </w:t>
            </w:r>
            <w:r>
              <w:rPr>
                <w:rFonts w:ascii="Arial" w:hAnsi="Arial"/>
                <w:color w:val="1B222C"/>
                <w:sz w:val="17"/>
              </w:rPr>
              <w:t xml:space="preserve">restricted to</w:t>
            </w:r>
            <w:r>
              <w:rPr>
                <w:rFonts w:ascii="Arial" w:hAnsi="Arial"/>
                <w:color w:val="1B222C"/>
                <w:sz w:val="17"/>
              </w:rPr>
              <w:t xml:space="preserve"> </w:t>
            </w:r>
            <w:r>
              <w:rPr>
                <w:rFonts w:ascii="Arial" w:hAnsi="Arial"/>
                <w:color w:val="1B222C"/>
                <w:sz w:val="17"/>
              </w:rPr>
              <w:t xml:space="preserve">pre-finalization</w:t>
            </w:r>
            <w:r>
              <w:rPr>
                <w:rFonts w:ascii="Arial" w:hAnsi="Arial"/>
                <w:color w:val="1B222C"/>
                <w:sz w:val="17"/>
              </w:rPr>
              <w:t xml:space="preserve"> </w:t>
            </w:r>
            <w:r>
              <w:rPr>
                <w:rFonts w:ascii="Arial" w:hAnsi="Arial"/>
                <w:color w:val="1B222C"/>
                <w:sz w:val="17"/>
              </w:rPr>
              <w:t xml:space="preserve">candidates.</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Conformance check only.</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PAP-M10</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Document lineage stated</w:t>
            </w:r>
            <w:r>
              <w:rPr>
                <w:rFonts w:ascii="Arial" w:hAnsi="Arial"/>
                <w:color w:val="1B222C"/>
                <w:sz w:val="17"/>
              </w:rPr>
              <w:t xml:space="preserve"> </w:t>
            </w:r>
            <w:r>
              <w:rPr>
                <w:rFonts w:ascii="Arial" w:hAnsi="Arial"/>
                <w:color w:val="1B222C"/>
                <w:sz w:val="17"/>
              </w:rPr>
              <w:t xml:space="preserve">in companion WP;</w:t>
            </w:r>
            <w:r>
              <w:rPr>
                <w:rFonts w:ascii="Arial" w:hAnsi="Arial"/>
                <w:color w:val="1B222C"/>
                <w:sz w:val="17"/>
              </w:rPr>
              <w:t xml:space="preserve"> </w:t>
            </w:r>
            <w:r>
              <w:rPr>
                <w:rFonts w:ascii="Arial" w:hAnsi="Arial"/>
                <w:color w:val="1B222C"/>
                <w:sz w:val="17"/>
              </w:rPr>
              <w:t xml:space="preserve">Heritari repin remains</w:t>
            </w:r>
            <w:r>
              <w:rPr>
                <w:rFonts w:ascii="Arial" w:hAnsi="Arial"/>
                <w:color w:val="1B222C"/>
                <w:sz w:val="17"/>
              </w:rPr>
              <w:t xml:space="preserve"> </w:t>
            </w:r>
            <w:r>
              <w:rPr>
                <w:rFonts w:ascii="Arial" w:hAnsi="Arial"/>
                <w:color w:val="1B222C"/>
                <w:sz w:val="17"/>
              </w:rPr>
              <w:t xml:space="preserve">separate.</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Detailed v3.6.9-&gt;v3.7.5</w:t>
            </w:r>
            <w:r>
              <w:rPr>
                <w:rFonts w:ascii="Arial" w:hAnsi="Arial"/>
                <w:color w:val="1B222C"/>
                <w:sz w:val="17"/>
              </w:rPr>
              <w:t xml:space="preserve"> </w:t>
            </w:r>
            <w:r>
              <w:rPr>
                <w:rFonts w:ascii="Arial" w:hAnsi="Arial"/>
                <w:color w:val="1B222C"/>
                <w:sz w:val="17"/>
              </w:rPr>
              <w:t xml:space="preserve">changelog + Heritari</w:t>
            </w:r>
            <w:r>
              <w:rPr>
                <w:rFonts w:ascii="Arial" w:hAnsi="Arial"/>
                <w:color w:val="1B222C"/>
                <w:sz w:val="17"/>
              </w:rPr>
              <w:t xml:space="preserve"> </w:t>
            </w:r>
            <w:r>
              <w:rPr>
                <w:rFonts w:ascii="Arial" w:hAnsi="Arial"/>
                <w:color w:val="1B222C"/>
                <w:sz w:val="17"/>
              </w:rPr>
              <w:t xml:space="preserve">review.</w:t>
            </w:r>
          </w:p>
        </w:tc>
      </w:tr>
      <w:tr>
        <w:trPr>
          <w:cantSplit/>
        </w:trPr>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PAP-M11/N1/N3/N4</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CLOSED_DOC / HANDOFF</w:t>
            </w:r>
          </w:p>
        </w:tc>
        <w:tc>
          <w:tcPr>
            <w:shd w:val="clear" w:fill="F3F6FB"/>
            <w:vAlign w:val="center"/>
            <w:tcMar>
              <w:top w:w="60" w:type="dxa"/>
              <w:start w:w="80" w:type="dxa"/>
              <w:bottom w:w="60" w:type="dxa"/>
              <w:end w:w="80" w:type="dxa"/>
            </w:tcMar>
          </w:tcPr>
          <w:p>
            <w:pPr>
              <w:keepLines/>
              <w:widowControl/>
              <w:spacing w:before="0" w:after="0" w:line="240" w:lineRule="auto"/>
            </w:pPr>
            <w:r>
              <w:rPr>
                <w:rFonts w:ascii="Arial" w:hAnsi="Arial"/>
                <w:sz w:val="17"/>
              </w:rPr>
              <w:t>Legal naming/separation in WP; labels, metadata and final-hash process normalized.</w:t>
            </w:r>
          </w:p>
        </w:tc>
        <w:tc>
          <w:tcPr>
            <w:shd w:val="clear" w:fill="F3F6FB"/>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Final legal review remains</w:t>
            </w:r>
            <w:r>
              <w:rPr>
                <w:rFonts w:ascii="Arial" w:hAnsi="Arial"/>
                <w:color w:val="1B222C"/>
                <w:sz w:val="17"/>
              </w:rPr>
              <w:t xml:space="preserve"> </w:t>
            </w:r>
            <w:r>
              <w:rPr>
                <w:rFonts w:ascii="Arial" w:hAnsi="Arial"/>
                <w:color w:val="1B222C"/>
                <w:sz w:val="17"/>
              </w:rPr>
              <w:t xml:space="preserve">external.</w:t>
            </w:r>
          </w:p>
        </w:tc>
      </w:tr>
      <w:tr>
        <w:trPr>
          <w:cantSplit/>
        </w:trPr>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PAP-N2</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PARTIAL</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10% label unified; no</w:t>
            </w:r>
            <w:r>
              <w:rPr>
                <w:rFonts w:ascii="Arial" w:hAnsi="Arial"/>
                <w:color w:val="1B222C"/>
                <w:sz w:val="17"/>
              </w:rPr>
              <w:t xml:space="preserve"> </w:t>
            </w:r>
            <w:r>
              <w:rPr>
                <w:rFonts w:ascii="Arial" w:hAnsi="Arial"/>
                <w:color w:val="1B222C"/>
                <w:sz w:val="17"/>
              </w:rPr>
              <w:t xml:space="preserve">label invented.</w:t>
            </w:r>
          </w:p>
        </w:tc>
        <w:tc>
          <w:tcPr>
            <w:vAlign w:val="center"/>
            <w:tcMar>
              <w:top w:w="60" w:type="dxa"/>
              <w:start w:w="80" w:type="dxa"/>
              <w:bottom w:w="60" w:type="dxa"/>
              <w:end w:w="80" w:type="dxa"/>
            </w:tcMar>
          </w:tcPr>
          <w:p>
            <w:pPr>
              <w:pStyle w:val="Compact"/>
              <w:keepLines/>
              <w:widowControl/>
              <w:spacing w:before="0" w:after="0" w:line="240" w:lineRule="auto"/>
              <w:jc w:val="left"/>
            </w:pPr>
            <w:r>
              <w:rPr>
                <w:rFonts w:ascii="Arial" w:hAnsi="Arial"/>
                <w:color w:val="1B222C"/>
                <w:sz w:val="17"/>
              </w:rPr>
              <w:t xml:space="preserve">Attach canonical</w:t>
            </w:r>
            <w:r>
              <w:rPr>
                <w:rFonts w:ascii="Arial" w:hAnsi="Arial"/>
                <w:color w:val="1B222C"/>
                <w:sz w:val="17"/>
              </w:rPr>
              <w:t xml:space="preserve"> </w:t>
            </w:r>
            <w:r>
              <w:rPr>
                <w:rFonts w:ascii="Arial" w:hAnsi="Arial"/>
                <w:color w:val="1B222C"/>
                <w:sz w:val="17"/>
              </w:rPr>
              <w:t xml:space="preserve">genesis-allocation</w:t>
            </w:r>
            <w:r>
              <w:rPr>
                <w:rFonts w:ascii="Arial" w:hAnsi="Arial"/>
                <w:color w:val="1B222C"/>
                <w:sz w:val="17"/>
              </w:rPr>
              <w:t xml:space="preserve"> </w:t>
            </w:r>
            <w:r>
              <w:rPr>
                <w:rFonts w:ascii="Arial" w:hAnsi="Arial"/>
                <w:color w:val="1B222C"/>
                <w:sz w:val="17"/>
              </w:rPr>
              <w:t xml:space="preserve">schedule.</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REA-M1</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CLOSED_DOC</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Funding-horizon illustration recalculated from the declared APR function (55%: 9.41y; 62.5%: 10.35y; 70%: 12.32y).</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Bind reward-funding policy to canonical reward accounts/config and tests.</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REA-M2</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CLOSED_DOC / IMPLEMENTATION_EVIDENCE_REQUIRED</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Slash-principal basis defined as total bonded stake attributable to the offending validator, including delegated stake.</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Conformance-test slashing base and delegator accounting.</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REA-M3</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CLOSED_DOC / FUTURE_PROTOCOL_REQUIRED</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Migration design note adds target PQ successor families, a versioned transition concept, and an authenticated user-account rebinding requirement.</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Future protocol-version artifact, vectors and implementation evidence before any suite migration.</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REA-N1</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CLOSED_DOC</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Formation timeline clarified in the companion Whitepaper (initiation vs notarized formation).</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Update registry status when available.</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REA-N2</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CLOSED_ARTIFACT</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Final filenames aligned with the manifest; PDF handoff included in the v2.4 package.</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None beyond handoff verification.</w:t>
            </w:r>
          </w:p>
        </w:tc>
      </w:tr>
      <w:tr>
        <w:trPr>
          <w:cantSplit/>
        </w:trPr>
        <w:tc>
          <w:tcPr>
            <w:tcW w:type="dxa" w:w="1380"/>
            <w:vAlign w:val="center"/>
            <w:tcMar>
              <w:top w:w="60" w:type="dxa"/>
              <w:start w:w="80" w:type="dxa"/>
              <w:bottom w:w="60" w:type="dxa"/>
              <w:end w:w="80" w:type="dxa"/>
            </w:tcMar>
          </w:tcPr>
          <w:p>
            <w:pPr>
              <w:keepLines/>
              <w:widowControl/>
              <w:spacing w:before="0" w:after="0" w:line="240" w:lineRule="auto"/>
            </w:pPr>
            <w:r>
              <w:rPr>
                <w:rFonts w:ascii="Arial" w:hAnsi="Arial"/>
                <w:sz w:val="17"/>
              </w:rPr>
              <w:t>REA-N3</w:t>
            </w:r>
          </w:p>
        </w:tc>
        <w:tc>
          <w:tcPr>
            <w:tcW w:type="dxa" w:w="2543"/>
            <w:vAlign w:val="center"/>
            <w:tcMar>
              <w:top w:w="60" w:type="dxa"/>
              <w:start w:w="80" w:type="dxa"/>
              <w:bottom w:w="60" w:type="dxa"/>
              <w:end w:w="80" w:type="dxa"/>
            </w:tcMar>
          </w:tcPr>
          <w:p>
            <w:pPr>
              <w:keepLines/>
              <w:widowControl/>
              <w:spacing w:before="0" w:after="0" w:line="240" w:lineRule="auto"/>
            </w:pPr>
            <w:r>
              <w:rPr>
                <w:rFonts w:ascii="Arial" w:hAnsi="Arial"/>
                <w:sz w:val="17"/>
              </w:rPr>
              <w:t>PARTIAL / CANONICAL_EXTRACTION</w:t>
            </w:r>
          </w:p>
        </w:tc>
        <w:tc>
          <w:tcPr>
            <w:tcW w:type="dxa" w:w="1816"/>
            <w:vAlign w:val="center"/>
            <w:tcMar>
              <w:top w:w="60" w:type="dxa"/>
              <w:start w:w="80" w:type="dxa"/>
              <w:bottom w:w="60" w:type="dxa"/>
              <w:end w:w="80" w:type="dxa"/>
            </w:tcMar>
          </w:tcPr>
          <w:p>
            <w:pPr>
              <w:keepLines/>
              <w:widowControl/>
              <w:spacing w:before="0" w:after="0" w:line="240" w:lineRule="auto"/>
            </w:pPr>
            <w:r>
              <w:rPr>
                <w:rFonts w:ascii="Arial" w:hAnsi="Arial"/>
                <w:sz w:val="17"/>
              </w:rPr>
              <w:t>Jail duration remains normatively block-based; a real-time equivalent is intentionally not guessed until block-cadence extraction is complete.</w:t>
            </w:r>
          </w:p>
        </w:tc>
        <w:tc>
          <w:tcPr>
            <w:tcW w:type="dxa" w:w="2034"/>
            <w:vAlign w:val="center"/>
            <w:tcMar>
              <w:top w:w="60" w:type="dxa"/>
              <w:start w:w="80" w:type="dxa"/>
              <w:bottom w:w="60" w:type="dxa"/>
              <w:end w:w="80" w:type="dxa"/>
            </w:tcMar>
          </w:tcPr>
          <w:p>
            <w:pPr>
              <w:keepLines/>
              <w:widowControl/>
              <w:spacing w:before="0" w:after="0" w:line="240" w:lineRule="auto"/>
            </w:pPr>
            <w:r>
              <w:rPr>
                <w:rFonts w:ascii="Arial" w:hAnsi="Arial"/>
                <w:sz w:val="17"/>
              </w:rPr>
              <w:t>Extract canonical block/resource cadence and update descriptive real-time guidance.</w:t>
            </w:r>
          </w:p>
        </w:tc>
      </w:tr>
    </w:tbl>
    <w:bookmarkEnd w:id="58"/>
    <w:sectPr>
      <w:headerReference w:type="default" r:id="rId10"/>
      <w:footerReference w:type="default" r:id="rId11"/>
      <w:pgMar w:left="1247" w:right="1247" w:top="1247" w:bottom="1134" w:header="624" w:footer="567" w:gutter="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66707C"/>
        <w:sz w:val="15"/>
      </w:rPr>
      <w:t xml:space="preserve">Qanovra Yellow Paper v2.4.2  |  Technical Specification / Layout Final Candidate  |  23 August 2026   |   Page </w:t>
    </w:r>
    <w:fldSimple w:instr=" PAGE ">
      <w:r>
        <w:rPr>
          <w:rFonts w:ascii="Arial" w:hAnsi="Arial"/>
          <w:color w:val="66707C"/>
          <w:sz w:val="15"/>
        </w:rP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6" w:color="D9E1EC"/>
      </w:pBdr>
      <w:jc w:val="right"/>
    </w:pPr>
    <w:r/>
    <w:r>
      <w:rPr>
        <w:rFonts w:ascii="Arial" w:hAnsi="Arial"/>
        <w:b/>
        <w:color w:val="0E2036"/>
        <w:spacing w:val="24"/>
        <w:sz w:val="16"/>
      </w:rPr>
      <w:t>QANOVRA  /  YELLOW PAPER v2.4.2</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m:mathPr>
    <m:mathFont m:val="Cambria Math"/>
    <m:brkBin m:val="before"/>
    <m:brkBinSub m:val="--"/>
    <m:smallFrac m:val="0"/>
    <m:dispDef/>
    <m:lMargin m:val="0"/>
    <m:rMargin m:val="0"/>
    <m:wrapRight/>
    <m:intLim m:val="subSup"/>
    <m:naryLim m:val="undOvr"/>
  </m:mathPr>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after="100" w:line="264" w:lineRule="auto" w:before="0"/>
    </w:pPr>
    <w:rPr>
      <w:rFonts w:ascii="Arial" w:hAnsi="Arial" w:cs="Arial"/>
      <w:color w:val="1B222C"/>
      <w:sz w:val="21"/>
    </w:rPr>
  </w:style>
  <w:style w:styleId="BodyText" w:type="paragraph">
    <w:name w:val="Body Text"/>
    <w:basedOn w:val="Normal"/>
    <w:link w:val="BodyTextChar"/>
    <w:qFormat/>
    <w:pPr>
      <w:widowControl/>
      <w:spacing w:after="100" w:before="0" w:line="264" w:lineRule="auto"/>
    </w:pPr>
    <w:rPr>
      <w:rFonts w:ascii="Arial" w:hAnsi="Arial" w:cs="Arial"/>
      <w:color w:val="1B222C"/>
      <w:sz w:val="21"/>
    </w:rPr>
  </w:style>
  <w:style w:customStyle="1" w:styleId="FirstParagraph" w:type="paragraph">
    <w:name w:val="First Paragraph"/>
    <w:basedOn w:val="BodyText"/>
    <w:next w:val="BodyText"/>
    <w:qFormat/>
    <w:pPr>
      <w:widowControl/>
      <w:spacing w:after="100" w:line="264" w:lineRule="auto" w:before="0"/>
    </w:pPr>
    <w:rPr>
      <w:rFonts w:ascii="Arial" w:hAnsi="Arial" w:cs="Arial"/>
      <w:color w:val="1B222C"/>
      <w:sz w:val="21"/>
    </w:rPr>
  </w:style>
  <w:style w:customStyle="1" w:styleId="Compact" w:type="paragraph">
    <w:name w:val="Compact"/>
    <w:basedOn w:val="BodyText"/>
    <w:qFormat/>
    <w:pPr>
      <w:widowControl/>
      <w:spacing w:after="0" w:before="0" w:line="240" w:lineRule="auto"/>
    </w:pPr>
    <w:rPr>
      <w:rFonts w:ascii="Arial" w:hAnsi="Arial" w:cs="Arial"/>
      <w:color w:val="1B222C"/>
      <w:sz w:val="18"/>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widowControl/>
      <w:spacing w:after="100" w:before="200" w:line="240" w:lineRule="auto"/>
      <w:outlineLvl w:val="0"/>
    </w:pPr>
    <w:rPr>
      <w:rFonts w:asciiTheme="majorHAnsi" w:cstheme="majorBidi" w:eastAsiaTheme="majorEastAsia" w:hAnsiTheme="majorHAnsi" w:ascii="Arial" w:hAnsi="Arial" w:cs="Arial"/>
      <w:b/>
      <w:bCs/>
      <w:color w:val="0E2036"/>
      <w:sz w:val="29"/>
      <w:szCs w:val="32"/>
    </w:rPr>
  </w:style>
  <w:style w:styleId="Heading2" w:type="paragraph">
    <w:name w:val="Heading 2"/>
    <w:basedOn w:val="Normal"/>
    <w:next w:val="BodyText"/>
    <w:uiPriority w:val="9"/>
    <w:unhideWhenUsed/>
    <w:qFormat/>
    <w:pPr>
      <w:keepNext/>
      <w:keepLines/>
      <w:widowControl/>
      <w:spacing w:after="100" w:before="200" w:line="240" w:lineRule="auto"/>
      <w:outlineLvl w:val="1"/>
    </w:pPr>
    <w:rPr>
      <w:rFonts w:asciiTheme="majorHAnsi" w:cstheme="majorBidi" w:eastAsiaTheme="majorEastAsia" w:hAnsiTheme="majorHAnsi" w:ascii="Arial" w:hAnsi="Arial" w:cs="Arial"/>
      <w:b/>
      <w:bCs/>
      <w:color w:val="0E2036"/>
      <w:sz w:val="25"/>
      <w:szCs w:val="28"/>
    </w:rPr>
  </w:style>
  <w:style w:styleId="Heading3" w:type="paragraph">
    <w:name w:val="Heading 3"/>
    <w:basedOn w:val="Normal"/>
    <w:next w:val="BodyText"/>
    <w:uiPriority w:val="9"/>
    <w:unhideWhenUsed/>
    <w:qFormat/>
    <w:pPr>
      <w:keepNext/>
      <w:keepLines/>
      <w:widowControl/>
      <w:spacing w:after="100" w:before="200" w:line="240" w:lineRule="auto"/>
      <w:outlineLvl w:val="2"/>
    </w:pPr>
    <w:rPr>
      <w:rFonts w:asciiTheme="majorHAnsi" w:cstheme="majorBidi" w:eastAsiaTheme="majorEastAsia" w:hAnsiTheme="majorHAnsi" w:ascii="Arial" w:hAnsi="Arial" w:cs="Arial"/>
      <w:b/>
      <w:bCs/>
      <w:color w:val="0E2036"/>
      <w:sz w:val="23"/>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Qanovra Yellow Paper v2.4.2</dc:title>
  <dc:creator>Qanovra UG (haftungsbeschränkt) i. G.</dc:creator>
  <cp:keywords/>
  <dcterms:created xsi:type="dcterms:W3CDTF">2026-08-21T21:14:12Z</dcterms:created>
  <dcterms:modified xsi:type="dcterms:W3CDTF">2026-08-21T21:14:12Z</dcterms:modified>
  <cp:lastModifiedBy>Qanovra UG (haftungsbeschränkt) i. G.</cp:lastModifiedBy>
  <dc:subject>Qanovra Yellow Paper v2.4.2 Technical Specification Publication Layout Final Candidate</dc:subject>
  <dc:description>Layout-only micro revision closing LAY-N1 hash wrapping; no substantive protocol or policy change.</dc:description>
  <cp:category>report</cp:category>
</cp:coreProperties>
</file>

<file path=docProps/custom.xml><?xml version="1.0" encoding="utf-8"?>
<Properties xmlns="http://schemas.openxmlformats.org/officeDocument/2006/custom-properties" xmlns:vt="http://schemas.openxmlformats.org/officeDocument/2006/docPropsVTypes"/>
</file>